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2B2B8">
      <w:pPr>
        <w:jc w:val="center"/>
        <w:rPr>
          <w:rFonts w:hint="eastAsia" w:ascii="方正小标宋简体" w:hAnsi="方正小标宋简体" w:eastAsia="方正小标宋简体" w:cs="方正小标宋简体"/>
          <w:b w:val="0"/>
          <w:bCs/>
          <w:sz w:val="36"/>
          <w:szCs w:val="36"/>
          <w:shd w:val="clear" w:color="auto" w:fill="FFFFFF"/>
        </w:rPr>
      </w:pPr>
      <w:r>
        <w:rPr>
          <w:rFonts w:hint="eastAsia" w:ascii="方正小标宋简体" w:hAnsi="方正小标宋简体" w:eastAsia="方正小标宋简体" w:cs="方正小标宋简体"/>
          <w:b w:val="0"/>
          <w:bCs/>
          <w:sz w:val="36"/>
          <w:szCs w:val="36"/>
          <w:shd w:val="clear" w:color="auto" w:fill="FFFFFF"/>
        </w:rPr>
        <w:t>202</w:t>
      </w:r>
      <w:r>
        <w:rPr>
          <w:rFonts w:hint="eastAsia" w:ascii="方正小标宋简体" w:hAnsi="方正小标宋简体" w:eastAsia="方正小标宋简体" w:cs="方正小标宋简体"/>
          <w:b w:val="0"/>
          <w:bCs/>
          <w:sz w:val="36"/>
          <w:szCs w:val="36"/>
          <w:shd w:val="clear" w:color="auto" w:fill="FFFFFF"/>
          <w:lang w:val="en-US" w:eastAsia="zh-CN"/>
        </w:rPr>
        <w:t>4</w:t>
      </w:r>
      <w:r>
        <w:rPr>
          <w:rFonts w:hint="eastAsia" w:ascii="方正小标宋简体" w:hAnsi="方正小标宋简体" w:eastAsia="方正小标宋简体" w:cs="方正小标宋简体"/>
          <w:b w:val="0"/>
          <w:bCs/>
          <w:sz w:val="36"/>
          <w:szCs w:val="36"/>
          <w:shd w:val="clear" w:color="auto" w:fill="FFFFFF"/>
        </w:rPr>
        <w:t>年度辽宁省科学技术奖励</w:t>
      </w:r>
    </w:p>
    <w:p w14:paraId="3E6A40AD">
      <w:pPr>
        <w:pStyle w:val="4"/>
        <w:spacing w:line="240" w:lineRule="auto"/>
        <w:ind w:firstLine="0" w:firstLineChars="0"/>
        <w:jc w:val="center"/>
        <w:outlineLvl w:val="1"/>
        <w:rPr>
          <w:rFonts w:hint="eastAsia" w:ascii="方正小标宋简体" w:hAnsi="方正小标宋简体" w:eastAsia="方正小标宋简体" w:cs="方正小标宋简体"/>
          <w:b w:val="0"/>
          <w:bCs/>
          <w:sz w:val="36"/>
          <w:szCs w:val="36"/>
          <w:shd w:val="clear" w:color="auto" w:fill="FFFFFF"/>
        </w:rPr>
      </w:pPr>
      <w:r>
        <w:rPr>
          <w:rFonts w:hint="eastAsia" w:ascii="方正小标宋简体" w:hAnsi="方正小标宋简体" w:eastAsia="方正小标宋简体" w:cs="方正小标宋简体"/>
          <w:sz w:val="36"/>
          <w:szCs w:val="36"/>
        </w:rPr>
        <w:t>科学技术进步奖</w:t>
      </w:r>
      <w:r>
        <w:rPr>
          <w:rFonts w:hint="eastAsia" w:ascii="方正小标宋简体" w:hAnsi="方正小标宋简体" w:eastAsia="方正小标宋简体" w:cs="方正小标宋简体"/>
          <w:b w:val="0"/>
          <w:bCs/>
          <w:sz w:val="36"/>
          <w:szCs w:val="36"/>
          <w:shd w:val="clear" w:color="auto" w:fill="FFFFFF"/>
        </w:rPr>
        <w:t>公示材料</w:t>
      </w:r>
    </w:p>
    <w:p w14:paraId="1DC454AA">
      <w:pPr>
        <w:pStyle w:val="4"/>
        <w:spacing w:line="240" w:lineRule="auto"/>
        <w:ind w:firstLine="0" w:firstLineChars="0"/>
        <w:jc w:val="both"/>
        <w:outlineLvl w:val="1"/>
        <w:rPr>
          <w:rFonts w:hint="eastAsia" w:ascii="楷体" w:hAnsi="楷体" w:eastAsia="楷体" w:cs="楷体"/>
          <w:b w:val="0"/>
          <w:bCs/>
          <w:color w:val="0D0D0D"/>
          <w:sz w:val="28"/>
        </w:rPr>
      </w:pPr>
      <w:r>
        <w:rPr>
          <w:rFonts w:hint="eastAsia" w:ascii="楷体" w:hAnsi="楷体" w:eastAsia="楷体" w:cs="楷体"/>
          <w:b/>
          <w:color w:val="0D0D0D"/>
          <w:sz w:val="28"/>
        </w:rPr>
        <w:t>项目名称：乳腺癌围手术期治疗体系的关键技术与推广应用</w:t>
      </w:r>
    </w:p>
    <w:p w14:paraId="2D5A9708">
      <w:pPr>
        <w:pStyle w:val="4"/>
        <w:spacing w:line="240" w:lineRule="auto"/>
        <w:ind w:firstLine="0" w:firstLineChars="0"/>
        <w:jc w:val="left"/>
        <w:outlineLvl w:val="1"/>
        <w:rPr>
          <w:rFonts w:hint="default" w:ascii="楷体" w:hAnsi="楷体" w:eastAsia="楷体" w:cs="楷体"/>
          <w:b w:val="0"/>
          <w:bCs/>
          <w:color w:val="0D0D0D"/>
          <w:sz w:val="28"/>
          <w:lang w:val="en-US" w:eastAsia="zh-CN"/>
        </w:rPr>
      </w:pPr>
      <w:r>
        <w:rPr>
          <w:rFonts w:hint="eastAsia" w:ascii="楷体" w:hAnsi="楷体" w:eastAsia="楷体" w:cs="楷体"/>
          <w:b/>
          <w:color w:val="0D0D0D"/>
          <w:sz w:val="28"/>
        </w:rPr>
        <w:t>提名</w:t>
      </w:r>
      <w:r>
        <w:rPr>
          <w:rFonts w:hint="eastAsia" w:ascii="楷体" w:hAnsi="楷体" w:eastAsia="楷体" w:cs="楷体"/>
          <w:b/>
          <w:color w:val="0D0D0D"/>
          <w:sz w:val="28"/>
          <w:lang w:val="en-US" w:eastAsia="zh-CN"/>
        </w:rPr>
        <w:t>单位</w:t>
      </w:r>
      <w:r>
        <w:rPr>
          <w:rFonts w:hint="eastAsia" w:ascii="楷体" w:hAnsi="楷体" w:eastAsia="楷体" w:cs="楷体"/>
          <w:b/>
          <w:color w:val="0D0D0D"/>
          <w:sz w:val="28"/>
        </w:rPr>
        <w:t>：</w:t>
      </w:r>
      <w:r>
        <w:rPr>
          <w:rFonts w:hint="eastAsia" w:ascii="楷体" w:hAnsi="楷体" w:eastAsia="楷体" w:cs="楷体"/>
          <w:b/>
          <w:color w:val="0D0D0D"/>
          <w:sz w:val="28"/>
          <w:lang w:val="en-US" w:eastAsia="zh-CN"/>
        </w:rPr>
        <w:t>中国医科大学附属第一医院</w:t>
      </w:r>
    </w:p>
    <w:p w14:paraId="0655E13A">
      <w:pPr>
        <w:pStyle w:val="4"/>
        <w:spacing w:line="240" w:lineRule="auto"/>
        <w:ind w:firstLine="0" w:firstLineChars="0"/>
        <w:jc w:val="left"/>
        <w:outlineLvl w:val="1"/>
        <w:rPr>
          <w:rFonts w:hint="default" w:ascii="楷体" w:hAnsi="楷体" w:eastAsia="楷体" w:cs="楷体"/>
          <w:b/>
          <w:color w:val="0D0D0D"/>
          <w:sz w:val="28"/>
          <w:lang w:val="en-US" w:eastAsia="zh-CN"/>
        </w:rPr>
      </w:pPr>
      <w:r>
        <w:rPr>
          <w:rFonts w:hint="eastAsia" w:ascii="楷体" w:hAnsi="楷体" w:eastAsia="楷体" w:cs="楷体"/>
          <w:b/>
          <w:color w:val="0D0D0D"/>
          <w:sz w:val="28"/>
        </w:rPr>
        <w:t>提名等级：</w:t>
      </w:r>
      <w:r>
        <w:rPr>
          <w:rFonts w:hint="eastAsia" w:ascii="楷体" w:hAnsi="楷体" w:eastAsia="楷体" w:cs="楷体"/>
          <w:kern w:val="2"/>
          <w:sz w:val="24"/>
          <w:szCs w:val="24"/>
          <w:lang w:val="en-US" w:eastAsia="zh-CN" w:bidi="ar-SA"/>
        </w:rPr>
        <w:t xml:space="preserve"> </w:t>
      </w:r>
      <w:bookmarkStart w:id="0" w:name="_GoBack"/>
      <w:r>
        <w:rPr>
          <w:rFonts w:hint="eastAsia" w:ascii="楷体" w:hAnsi="楷体" w:eastAsia="楷体" w:cs="楷体"/>
          <w:b/>
          <w:color w:val="0D0D0D"/>
          <w:sz w:val="28"/>
          <w:lang w:val="en-US" w:eastAsia="zh-CN"/>
        </w:rPr>
        <w:t>二等</w:t>
      </w:r>
    </w:p>
    <w:bookmarkEnd w:id="0"/>
    <w:p w14:paraId="0317A1F3">
      <w:pPr>
        <w:pStyle w:val="4"/>
        <w:spacing w:line="240" w:lineRule="auto"/>
        <w:ind w:firstLine="0" w:firstLineChars="0"/>
        <w:jc w:val="left"/>
        <w:outlineLvl w:val="1"/>
        <w:rPr>
          <w:rFonts w:hint="eastAsia" w:ascii="楷体" w:hAnsi="楷体" w:eastAsia="楷体" w:cs="楷体"/>
          <w:b/>
          <w:color w:val="0D0D0D"/>
          <w:sz w:val="28"/>
        </w:rPr>
      </w:pPr>
      <w:r>
        <w:rPr>
          <w:rFonts w:hint="eastAsia" w:ascii="楷体" w:hAnsi="楷体" w:eastAsia="楷体" w:cs="楷体"/>
          <w:b/>
          <w:color w:val="0D0D0D"/>
          <w:sz w:val="28"/>
        </w:rPr>
        <w:t>主要知识产权和标准规范等目录（不超过10件）</w:t>
      </w:r>
    </w:p>
    <w:tbl>
      <w:tblPr>
        <w:tblStyle w:val="7"/>
        <w:tblW w:w="1030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148"/>
        <w:gridCol w:w="1578"/>
        <w:gridCol w:w="992"/>
        <w:gridCol w:w="850"/>
        <w:gridCol w:w="879"/>
        <w:gridCol w:w="1106"/>
        <w:gridCol w:w="992"/>
        <w:gridCol w:w="1134"/>
        <w:gridCol w:w="786"/>
      </w:tblGrid>
      <w:tr w14:paraId="074A30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6" w:type="dxa"/>
            <w:tcBorders>
              <w:top w:val="single" w:color="auto" w:sz="8" w:space="0"/>
            </w:tcBorders>
            <w:vAlign w:val="center"/>
          </w:tcPr>
          <w:p w14:paraId="5DE292AE">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lang w:val="en-US" w:eastAsia="zh-CN"/>
              </w:rPr>
            </w:pPr>
            <w:r>
              <w:rPr>
                <w:rFonts w:hint="eastAsia" w:ascii="楷体" w:hAnsi="楷体" w:eastAsia="楷体" w:cs="楷体"/>
                <w:color w:val="000000"/>
                <w:sz w:val="21"/>
                <w:szCs w:val="22"/>
                <w:lang w:val="en-US" w:eastAsia="zh-CN"/>
              </w:rPr>
              <w:t>序号</w:t>
            </w:r>
          </w:p>
        </w:tc>
        <w:tc>
          <w:tcPr>
            <w:tcW w:w="1148" w:type="dxa"/>
            <w:tcBorders>
              <w:top w:val="single" w:color="auto" w:sz="8" w:space="0"/>
            </w:tcBorders>
            <w:vAlign w:val="center"/>
          </w:tcPr>
          <w:p w14:paraId="56DF46CF">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知识产权（标准）</w:t>
            </w:r>
          </w:p>
          <w:p w14:paraId="41C97946">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类别</w:t>
            </w:r>
          </w:p>
        </w:tc>
        <w:tc>
          <w:tcPr>
            <w:tcW w:w="1578" w:type="dxa"/>
            <w:tcBorders>
              <w:top w:val="single" w:color="auto" w:sz="8" w:space="0"/>
            </w:tcBorders>
            <w:vAlign w:val="center"/>
          </w:tcPr>
          <w:p w14:paraId="294048E8">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知识产权（标准）具体名称</w:t>
            </w:r>
          </w:p>
        </w:tc>
        <w:tc>
          <w:tcPr>
            <w:tcW w:w="992" w:type="dxa"/>
            <w:tcBorders>
              <w:top w:val="single" w:color="auto" w:sz="8" w:space="0"/>
            </w:tcBorders>
            <w:vAlign w:val="center"/>
          </w:tcPr>
          <w:p w14:paraId="42A44C27">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国家</w:t>
            </w:r>
          </w:p>
          <w:p w14:paraId="413119BC">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（地区）</w:t>
            </w:r>
          </w:p>
        </w:tc>
        <w:tc>
          <w:tcPr>
            <w:tcW w:w="850" w:type="dxa"/>
            <w:tcBorders>
              <w:top w:val="single" w:color="auto" w:sz="8" w:space="0"/>
            </w:tcBorders>
            <w:vAlign w:val="center"/>
          </w:tcPr>
          <w:p w14:paraId="4DC620BB">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授权号（标准编号）</w:t>
            </w:r>
          </w:p>
        </w:tc>
        <w:tc>
          <w:tcPr>
            <w:tcW w:w="879" w:type="dxa"/>
            <w:tcBorders>
              <w:top w:val="single" w:color="auto" w:sz="8" w:space="0"/>
            </w:tcBorders>
            <w:vAlign w:val="center"/>
          </w:tcPr>
          <w:p w14:paraId="54D61ABF">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授权（标准发布）日期</w:t>
            </w:r>
          </w:p>
        </w:tc>
        <w:tc>
          <w:tcPr>
            <w:tcW w:w="1106" w:type="dxa"/>
            <w:tcBorders>
              <w:top w:val="single" w:color="auto" w:sz="8" w:space="0"/>
            </w:tcBorders>
            <w:vAlign w:val="center"/>
          </w:tcPr>
          <w:p w14:paraId="252A2B7E">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证书编号</w:t>
            </w:r>
            <w:r>
              <w:rPr>
                <w:rFonts w:hint="eastAsia" w:ascii="楷体" w:hAnsi="楷体" w:eastAsia="楷体" w:cs="楷体"/>
                <w:color w:val="000000"/>
                <w:sz w:val="21"/>
                <w:szCs w:val="22"/>
              </w:rPr>
              <w:br w:type="textWrapping"/>
            </w:r>
            <w:r>
              <w:rPr>
                <w:rFonts w:hint="eastAsia" w:ascii="楷体" w:hAnsi="楷体" w:eastAsia="楷体" w:cs="楷体"/>
                <w:color w:val="000000"/>
                <w:sz w:val="21"/>
                <w:szCs w:val="22"/>
              </w:rPr>
              <w:t>（标准批准发布部门）</w:t>
            </w:r>
          </w:p>
        </w:tc>
        <w:tc>
          <w:tcPr>
            <w:tcW w:w="992" w:type="dxa"/>
            <w:tcBorders>
              <w:top w:val="single" w:color="auto" w:sz="8" w:space="0"/>
            </w:tcBorders>
            <w:vAlign w:val="center"/>
          </w:tcPr>
          <w:p w14:paraId="7840E024">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权利（标准起草单位）</w:t>
            </w:r>
          </w:p>
        </w:tc>
        <w:tc>
          <w:tcPr>
            <w:tcW w:w="1134" w:type="dxa"/>
            <w:tcBorders>
              <w:top w:val="single" w:color="auto" w:sz="8" w:space="0"/>
            </w:tcBorders>
            <w:vAlign w:val="center"/>
          </w:tcPr>
          <w:p w14:paraId="7D40D13D">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发明人（标准起草人）</w:t>
            </w:r>
          </w:p>
        </w:tc>
        <w:tc>
          <w:tcPr>
            <w:tcW w:w="786" w:type="dxa"/>
            <w:tcBorders>
              <w:top w:val="single" w:color="auto" w:sz="8" w:space="0"/>
            </w:tcBorders>
            <w:vAlign w:val="center"/>
          </w:tcPr>
          <w:p w14:paraId="2EAD6FA3">
            <w:pPr>
              <w:pStyle w:val="4"/>
              <w:keepNext w:val="0"/>
              <w:keepLines w:val="0"/>
              <w:suppressLineNumbers w:val="0"/>
              <w:spacing w:before="0" w:beforeAutospacing="0" w:after="0" w:afterAutospacing="0" w:line="390" w:lineRule="exact"/>
              <w:ind w:left="0" w:right="0" w:firstLine="0" w:firstLineChars="0"/>
              <w:jc w:val="center"/>
              <w:rPr>
                <w:rFonts w:hint="eastAsia" w:ascii="楷体" w:hAnsi="楷体" w:eastAsia="楷体" w:cs="楷体"/>
                <w:color w:val="000000"/>
                <w:sz w:val="21"/>
                <w:szCs w:val="22"/>
              </w:rPr>
            </w:pPr>
            <w:r>
              <w:rPr>
                <w:rFonts w:hint="eastAsia" w:ascii="楷体" w:hAnsi="楷体" w:eastAsia="楷体" w:cs="楷体"/>
                <w:color w:val="000000"/>
                <w:sz w:val="21"/>
                <w:szCs w:val="22"/>
              </w:rPr>
              <w:t>发明专利（标准）有效状态</w:t>
            </w:r>
          </w:p>
        </w:tc>
      </w:tr>
      <w:tr w14:paraId="73813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36" w:type="dxa"/>
            <w:vAlign w:val="center"/>
          </w:tcPr>
          <w:p w14:paraId="4D9F06FD">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1</w:t>
            </w:r>
          </w:p>
        </w:tc>
        <w:tc>
          <w:tcPr>
            <w:tcW w:w="1148" w:type="dxa"/>
            <w:vAlign w:val="top"/>
          </w:tcPr>
          <w:p w14:paraId="2322D3BF">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实用新型专利</w:t>
            </w:r>
          </w:p>
        </w:tc>
        <w:tc>
          <w:tcPr>
            <w:tcW w:w="1578" w:type="dxa"/>
            <w:vAlign w:val="top"/>
          </w:tcPr>
          <w:p w14:paraId="7FC009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一种背带式乳腺外科术后护理保养器</w:t>
            </w:r>
          </w:p>
        </w:tc>
        <w:tc>
          <w:tcPr>
            <w:tcW w:w="992" w:type="dxa"/>
            <w:vAlign w:val="top"/>
          </w:tcPr>
          <w:p w14:paraId="248DEA8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406E34B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ZL 2024 2 0118950.3</w:t>
            </w:r>
          </w:p>
        </w:tc>
        <w:tc>
          <w:tcPr>
            <w:tcW w:w="879" w:type="dxa"/>
            <w:vAlign w:val="top"/>
          </w:tcPr>
          <w:p w14:paraId="3BD48DE2">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2024年9月27日</w:t>
            </w:r>
          </w:p>
        </w:tc>
        <w:tc>
          <w:tcPr>
            <w:tcW w:w="1106" w:type="dxa"/>
            <w:vAlign w:val="top"/>
          </w:tcPr>
          <w:p w14:paraId="5B25E174">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21757725</w:t>
            </w:r>
          </w:p>
        </w:tc>
        <w:tc>
          <w:tcPr>
            <w:tcW w:w="992" w:type="dxa"/>
            <w:vAlign w:val="top"/>
          </w:tcPr>
          <w:p w14:paraId="2E8705F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16"/>
                <w:szCs w:val="16"/>
              </w:rPr>
            </w:pPr>
            <w:r>
              <w:rPr>
                <w:rFonts w:hint="eastAsia" w:ascii="等线" w:hAnsi="等线" w:eastAsia="等线" w:cs="等线"/>
                <w:i w:val="0"/>
                <w:iCs w:val="0"/>
                <w:color w:val="000000"/>
                <w:kern w:val="0"/>
                <w:sz w:val="20"/>
                <w:szCs w:val="20"/>
                <w:u w:val="none"/>
                <w:lang w:val="en-US" w:eastAsia="zh-CN" w:bidi="ar"/>
              </w:rPr>
              <w:t>陈波 张磊 金紫凝 朱钰 郭佳儒 王震 任慧洋</w:t>
            </w:r>
          </w:p>
        </w:tc>
        <w:tc>
          <w:tcPr>
            <w:tcW w:w="1134" w:type="dxa"/>
            <w:vAlign w:val="top"/>
          </w:tcPr>
          <w:p w14:paraId="6D8E05C6">
            <w:pPr>
              <w:keepNext w:val="0"/>
              <w:keepLines w:val="0"/>
              <w:suppressLineNumbers w:val="0"/>
              <w:spacing w:before="0" w:beforeAutospacing="0" w:after="0" w:afterAutospacing="0"/>
              <w:ind w:left="0" w:right="0"/>
              <w:jc w:val="center"/>
              <w:rPr>
                <w:rFonts w:hint="default" w:ascii="Times New Roman"/>
                <w:color w:val="000000"/>
                <w:sz w:val="16"/>
                <w:szCs w:val="16"/>
              </w:rPr>
            </w:pPr>
          </w:p>
        </w:tc>
        <w:tc>
          <w:tcPr>
            <w:tcW w:w="786" w:type="dxa"/>
            <w:vAlign w:val="top"/>
          </w:tcPr>
          <w:p w14:paraId="560959D0">
            <w:pPr>
              <w:keepNext w:val="0"/>
              <w:keepLines w:val="0"/>
              <w:widowControl/>
              <w:suppressLineNumbers w:val="0"/>
              <w:spacing w:before="0" w:beforeAutospacing="0" w:after="0" w:afterAutospacing="0"/>
              <w:ind w:left="0" w:right="0"/>
              <w:jc w:val="center"/>
              <w:textAlignment w:val="bottom"/>
              <w:rPr>
                <w:rFonts w:hint="default"/>
                <w:sz w:val="16"/>
                <w:szCs w:val="16"/>
              </w:rPr>
            </w:pPr>
          </w:p>
        </w:tc>
      </w:tr>
      <w:tr w14:paraId="28557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36" w:type="dxa"/>
            <w:vAlign w:val="center"/>
          </w:tcPr>
          <w:p w14:paraId="12C74A50">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2</w:t>
            </w:r>
          </w:p>
        </w:tc>
        <w:tc>
          <w:tcPr>
            <w:tcW w:w="1148" w:type="dxa"/>
            <w:vAlign w:val="top"/>
          </w:tcPr>
          <w:p w14:paraId="1112174A">
            <w:pPr>
              <w:keepNext w:val="0"/>
              <w:keepLines w:val="0"/>
              <w:widowControl/>
              <w:suppressLineNumbers w:val="0"/>
              <w:spacing w:before="0" w:beforeAutospacing="0" w:after="0" w:afterAutospacing="0"/>
              <w:ind w:left="0" w:right="0"/>
              <w:jc w:val="center"/>
              <w:textAlignment w:val="bottom"/>
              <w:rPr>
                <w:rFonts w:hint="eastAsia" w:ascii="Times New Roman" w:eastAsia="宋体"/>
                <w:color w:val="000000"/>
                <w:sz w:val="20"/>
                <w:szCs w:val="20"/>
                <w:lang w:val="en-US" w:eastAsia="zh-CN"/>
              </w:rPr>
            </w:pPr>
            <w:r>
              <w:rPr>
                <w:rFonts w:hint="eastAsia" w:ascii="等线" w:hAnsi="等线" w:eastAsia="等线" w:cs="等线"/>
                <w:i w:val="0"/>
                <w:iCs w:val="0"/>
                <w:color w:val="000000"/>
                <w:kern w:val="0"/>
                <w:sz w:val="20"/>
                <w:szCs w:val="20"/>
                <w:u w:val="none"/>
                <w:lang w:val="en-US" w:eastAsia="zh-CN" w:bidi="ar"/>
              </w:rPr>
              <w:t>论文</w:t>
            </w:r>
          </w:p>
        </w:tc>
        <w:tc>
          <w:tcPr>
            <w:tcW w:w="1578" w:type="dxa"/>
            <w:shd w:val="clear" w:color="auto" w:fill="auto"/>
            <w:vAlign w:val="top"/>
          </w:tcPr>
          <w:p w14:paraId="69B16739">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2"/>
                <w:sz w:val="20"/>
                <w:szCs w:val="20"/>
                <w:lang w:val="en-US" w:eastAsia="zh-CN" w:bidi="ar-SA"/>
              </w:rPr>
            </w:pPr>
            <w:r>
              <w:rPr>
                <w:rFonts w:hint="eastAsia" w:ascii="等线" w:hAnsi="等线" w:eastAsia="等线" w:cs="等线"/>
                <w:i w:val="0"/>
                <w:iCs w:val="0"/>
                <w:color w:val="000000"/>
                <w:kern w:val="0"/>
                <w:sz w:val="20"/>
                <w:szCs w:val="20"/>
                <w:u w:val="none"/>
                <w:lang w:val="en-US" w:eastAsia="zh-CN" w:bidi="ar"/>
              </w:rPr>
              <w:t>乳腺癌前哨淋巴结活检的热点问题</w:t>
            </w:r>
          </w:p>
        </w:tc>
        <w:tc>
          <w:tcPr>
            <w:tcW w:w="992" w:type="dxa"/>
            <w:shd w:val="clear" w:color="auto" w:fill="auto"/>
            <w:vAlign w:val="top"/>
          </w:tcPr>
          <w:p w14:paraId="3D00C93C">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color w:val="000000"/>
                <w:kern w:val="2"/>
                <w:sz w:val="20"/>
                <w:szCs w:val="20"/>
                <w:lang w:val="en-US" w:eastAsia="zh-CN" w:bidi="ar-SA"/>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6BB78868">
            <w:pPr>
              <w:keepNext w:val="0"/>
              <w:keepLines w:val="0"/>
              <w:widowControl/>
              <w:suppressLineNumbers w:val="0"/>
              <w:spacing w:before="0" w:beforeAutospacing="0" w:after="0" w:afterAutospacing="0"/>
              <w:ind w:left="0" w:right="0"/>
              <w:jc w:val="center"/>
              <w:textAlignment w:val="center"/>
              <w:rPr>
                <w:rFonts w:hint="default" w:ascii="Times New Roman"/>
                <w:color w:val="000000"/>
                <w:sz w:val="20"/>
                <w:szCs w:val="20"/>
                <w:lang w:val="en-US"/>
              </w:rPr>
            </w:pPr>
          </w:p>
        </w:tc>
        <w:tc>
          <w:tcPr>
            <w:tcW w:w="879" w:type="dxa"/>
            <w:shd w:val="clear" w:color="auto" w:fill="auto"/>
            <w:vAlign w:val="top"/>
          </w:tcPr>
          <w:p w14:paraId="475979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0"/>
                <w:szCs w:val="20"/>
                <w:lang w:val="en-US" w:eastAsia="zh-CN" w:bidi="ar-SA"/>
              </w:rPr>
            </w:pPr>
            <w:r>
              <w:rPr>
                <w:rFonts w:hint="eastAsia" w:ascii="等线" w:hAnsi="等线" w:eastAsia="等线" w:cs="等线"/>
                <w:i w:val="0"/>
                <w:iCs w:val="0"/>
                <w:color w:val="000000"/>
                <w:kern w:val="0"/>
                <w:sz w:val="20"/>
                <w:szCs w:val="20"/>
                <w:u w:val="none"/>
                <w:lang w:val="en-US" w:eastAsia="zh-CN" w:bidi="ar"/>
              </w:rPr>
              <w:t>2021年12月</w:t>
            </w:r>
          </w:p>
        </w:tc>
        <w:tc>
          <w:tcPr>
            <w:tcW w:w="1106" w:type="dxa"/>
            <w:shd w:val="clear" w:color="auto" w:fill="auto"/>
            <w:vAlign w:val="top"/>
          </w:tcPr>
          <w:p w14:paraId="2913B9F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kern w:val="2"/>
                <w:sz w:val="20"/>
                <w:szCs w:val="20"/>
                <w:lang w:val="en-US" w:eastAsia="zh-CN" w:bidi="ar-SA"/>
              </w:rPr>
            </w:pPr>
            <w:r>
              <w:rPr>
                <w:rFonts w:hint="eastAsia" w:ascii="等线" w:hAnsi="等线" w:eastAsia="等线" w:cs="等线"/>
                <w:i w:val="0"/>
                <w:iCs w:val="0"/>
                <w:color w:val="000000"/>
                <w:kern w:val="0"/>
                <w:sz w:val="20"/>
                <w:szCs w:val="20"/>
                <w:u w:val="none"/>
                <w:lang w:val="en-US" w:eastAsia="zh-CN" w:bidi="ar"/>
              </w:rPr>
              <w:t>中国肿瘤外科杂志,2021年06期</w:t>
            </w:r>
          </w:p>
        </w:tc>
        <w:tc>
          <w:tcPr>
            <w:tcW w:w="992" w:type="dxa"/>
            <w:vAlign w:val="top"/>
          </w:tcPr>
          <w:p w14:paraId="0779DFA8">
            <w:pPr>
              <w:keepNext w:val="0"/>
              <w:keepLines w:val="0"/>
              <w:suppressLineNumbers w:val="0"/>
              <w:spacing w:before="0" w:beforeAutospacing="0" w:after="0" w:afterAutospacing="0"/>
              <w:ind w:left="0" w:right="0"/>
              <w:jc w:val="center"/>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尚方剑 陈波</w:t>
            </w:r>
          </w:p>
        </w:tc>
        <w:tc>
          <w:tcPr>
            <w:tcW w:w="1134" w:type="dxa"/>
            <w:vAlign w:val="top"/>
          </w:tcPr>
          <w:p w14:paraId="41F0CB75">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c>
          <w:tcPr>
            <w:tcW w:w="786" w:type="dxa"/>
            <w:vAlign w:val="top"/>
          </w:tcPr>
          <w:p w14:paraId="5AD88180">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20AC7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23F843DE">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3</w:t>
            </w:r>
          </w:p>
        </w:tc>
        <w:tc>
          <w:tcPr>
            <w:tcW w:w="1148" w:type="dxa"/>
            <w:vAlign w:val="top"/>
          </w:tcPr>
          <w:p w14:paraId="38092C26">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27389AE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POU5F1/Oct-4 expression in breast cancer tissue is significantly associated with non-sentinel lymph node metastasis.</w:t>
            </w:r>
          </w:p>
        </w:tc>
        <w:tc>
          <w:tcPr>
            <w:tcW w:w="992" w:type="dxa"/>
            <w:vAlign w:val="top"/>
          </w:tcPr>
          <w:p w14:paraId="73B35AC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041B10C8">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349DEED1">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2016年3月1日</w:t>
            </w:r>
          </w:p>
        </w:tc>
        <w:tc>
          <w:tcPr>
            <w:tcW w:w="1106" w:type="dxa"/>
            <w:vAlign w:val="top"/>
          </w:tcPr>
          <w:p w14:paraId="5AB46065">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BMC cancer. 2016 Dec;16:1-8.</w:t>
            </w:r>
          </w:p>
        </w:tc>
        <w:tc>
          <w:tcPr>
            <w:tcW w:w="992" w:type="dxa"/>
            <w:vAlign w:val="top"/>
          </w:tcPr>
          <w:p w14:paraId="6F99BD78">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蔡首亮 耿树钢 金锋 刘吉盛 曲畅 陈波</w:t>
            </w:r>
          </w:p>
        </w:tc>
        <w:tc>
          <w:tcPr>
            <w:tcW w:w="1134" w:type="dxa"/>
            <w:vAlign w:val="top"/>
          </w:tcPr>
          <w:p w14:paraId="51B2DFAB">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786" w:type="dxa"/>
            <w:vAlign w:val="top"/>
          </w:tcPr>
          <w:p w14:paraId="349B932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30528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vAlign w:val="center"/>
          </w:tcPr>
          <w:p w14:paraId="764817A6">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4</w:t>
            </w:r>
          </w:p>
        </w:tc>
        <w:tc>
          <w:tcPr>
            <w:tcW w:w="1148" w:type="dxa"/>
            <w:vAlign w:val="top"/>
          </w:tcPr>
          <w:p w14:paraId="5069B1A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285886E6">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前哨淋巴结1～2枚转移的早期乳腺癌患者非前哨淋巴结转移状态分析</w:t>
            </w:r>
          </w:p>
        </w:tc>
        <w:tc>
          <w:tcPr>
            <w:tcW w:w="992" w:type="dxa"/>
            <w:vAlign w:val="top"/>
          </w:tcPr>
          <w:p w14:paraId="5F6EA027">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089FE1E3">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347A5FFE">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2018年7月1日</w:t>
            </w:r>
          </w:p>
        </w:tc>
        <w:tc>
          <w:tcPr>
            <w:tcW w:w="1106" w:type="dxa"/>
            <w:vAlign w:val="top"/>
          </w:tcPr>
          <w:p w14:paraId="134E566B">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中华普通外科杂志,2018,33(7)</w:t>
            </w:r>
          </w:p>
        </w:tc>
        <w:tc>
          <w:tcPr>
            <w:tcW w:w="992" w:type="dxa"/>
            <w:vAlign w:val="top"/>
          </w:tcPr>
          <w:p w14:paraId="584A45C5">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焦得闯 朱久俊 乔江华 王丽娜 马有钊 卢振铎 刘真真</w:t>
            </w:r>
          </w:p>
        </w:tc>
        <w:tc>
          <w:tcPr>
            <w:tcW w:w="1134" w:type="dxa"/>
            <w:vAlign w:val="top"/>
          </w:tcPr>
          <w:p w14:paraId="32E28BAC">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786" w:type="dxa"/>
            <w:vAlign w:val="top"/>
          </w:tcPr>
          <w:p w14:paraId="7CE07B72">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75B02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36" w:type="dxa"/>
            <w:vAlign w:val="center"/>
          </w:tcPr>
          <w:p w14:paraId="350BF8E4">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5</w:t>
            </w:r>
          </w:p>
        </w:tc>
        <w:tc>
          <w:tcPr>
            <w:tcW w:w="1148" w:type="dxa"/>
            <w:vAlign w:val="top"/>
          </w:tcPr>
          <w:p w14:paraId="0291FEC8">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204B2562">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De-escalated neoadjuvant weekly nab-paclitaxel with trastuzumab and pertuzumab versus docetaxel, carboplatin, trastuzumab, and pertuzumab in patients with HER2-positive early breast cancer (HELEN-006): a multicentre, randomised, phase 3 trial.</w:t>
            </w:r>
          </w:p>
        </w:tc>
        <w:tc>
          <w:tcPr>
            <w:tcW w:w="992" w:type="dxa"/>
            <w:vAlign w:val="top"/>
          </w:tcPr>
          <w:p w14:paraId="5B27C578">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23766455">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7DC0736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2024年12月26日</w:t>
            </w:r>
          </w:p>
        </w:tc>
        <w:tc>
          <w:tcPr>
            <w:tcW w:w="1106" w:type="dxa"/>
            <w:vAlign w:val="top"/>
          </w:tcPr>
          <w:p w14:paraId="0511C311">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The Lancet Oncology.</w:t>
            </w:r>
          </w:p>
        </w:tc>
        <w:tc>
          <w:tcPr>
            <w:tcW w:w="992" w:type="dxa"/>
            <w:vAlign w:val="top"/>
          </w:tcPr>
          <w:p w14:paraId="609018AA">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 xml:space="preserve">陈秀春 焦得闯 乔江华 王承正 孙献甫 卢振铎  李连方 张崇建 闫敏  魏娅 </w:t>
            </w:r>
          </w:p>
          <w:p w14:paraId="198E0AE7">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 xml:space="preserve">陈波 </w:t>
            </w:r>
          </w:p>
          <w:p w14:paraId="213CE7ED">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 xml:space="preserve">冯跃庆 邓淼 </w:t>
            </w:r>
          </w:p>
          <w:p w14:paraId="6FE2E744">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马明德 Jennifer K Plichta 何有文 刘真真</w:t>
            </w:r>
          </w:p>
        </w:tc>
        <w:tc>
          <w:tcPr>
            <w:tcW w:w="1134" w:type="dxa"/>
            <w:vAlign w:val="top"/>
          </w:tcPr>
          <w:p w14:paraId="22EDB161">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c>
          <w:tcPr>
            <w:tcW w:w="786" w:type="dxa"/>
            <w:vAlign w:val="top"/>
          </w:tcPr>
          <w:p w14:paraId="0E2E1DF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00B25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36" w:type="dxa"/>
            <w:vAlign w:val="center"/>
          </w:tcPr>
          <w:p w14:paraId="4420F3B8">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6</w:t>
            </w:r>
          </w:p>
        </w:tc>
        <w:tc>
          <w:tcPr>
            <w:tcW w:w="1148" w:type="dxa"/>
            <w:vAlign w:val="top"/>
          </w:tcPr>
          <w:p w14:paraId="545E801F">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7FD11B3B">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Pathological response and predictive role of tumour-infiltrating lymphocytes in HER2-positive early breast cancer treated with neoadjuvant pyrotinib plus trastuzumab and chemotherapy (Panphila): a multicentre phase 2 trial,</w:t>
            </w:r>
          </w:p>
        </w:tc>
        <w:tc>
          <w:tcPr>
            <w:tcW w:w="992" w:type="dxa"/>
            <w:vAlign w:val="top"/>
          </w:tcPr>
          <w:p w14:paraId="40962F74">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5C53D3BE">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36A08F20">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2022年2月27日</w:t>
            </w:r>
          </w:p>
        </w:tc>
        <w:tc>
          <w:tcPr>
            <w:tcW w:w="1106" w:type="dxa"/>
            <w:vAlign w:val="top"/>
          </w:tcPr>
          <w:p w14:paraId="552E2D7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European Journal of Cancer. 2022 Apr 1;165:157-68.</w:t>
            </w:r>
          </w:p>
        </w:tc>
        <w:tc>
          <w:tcPr>
            <w:tcW w:w="992" w:type="dxa"/>
            <w:vAlign w:val="top"/>
          </w:tcPr>
          <w:p w14:paraId="5143746B">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刘真真 王承正 陈秀春 朱久俊 孙献甫 夏庆欣 卢振铎 乔江华 周勇 王海学 王艺 闫敏</w:t>
            </w:r>
          </w:p>
        </w:tc>
        <w:tc>
          <w:tcPr>
            <w:tcW w:w="1134" w:type="dxa"/>
            <w:vAlign w:val="top"/>
          </w:tcPr>
          <w:p w14:paraId="1669D14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c>
          <w:tcPr>
            <w:tcW w:w="786" w:type="dxa"/>
            <w:vAlign w:val="top"/>
          </w:tcPr>
          <w:p w14:paraId="57FEFB4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54361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36" w:type="dxa"/>
            <w:vAlign w:val="center"/>
          </w:tcPr>
          <w:p w14:paraId="54B87C1B">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7</w:t>
            </w:r>
          </w:p>
        </w:tc>
        <w:tc>
          <w:tcPr>
            <w:tcW w:w="1148" w:type="dxa"/>
            <w:vAlign w:val="top"/>
          </w:tcPr>
          <w:p w14:paraId="60D06747">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2CF9D6AB">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Endocrine therapy of short duration prevents local and contralateral recurrence of ductal carcinoma in situ of the breast: A multicenter retrospective cohort study in China</w:t>
            </w:r>
          </w:p>
        </w:tc>
        <w:tc>
          <w:tcPr>
            <w:tcW w:w="992" w:type="dxa"/>
            <w:vAlign w:val="top"/>
          </w:tcPr>
          <w:p w14:paraId="3AA8A1B7">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5ED68E96">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1A4818C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2024年7月1日</w:t>
            </w:r>
          </w:p>
        </w:tc>
        <w:tc>
          <w:tcPr>
            <w:tcW w:w="1106" w:type="dxa"/>
            <w:vAlign w:val="top"/>
          </w:tcPr>
          <w:p w14:paraId="7D105A7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Chinese Medical Journal. 2024 Jul 20;137(14):1756-8.</w:t>
            </w:r>
          </w:p>
        </w:tc>
        <w:tc>
          <w:tcPr>
            <w:tcW w:w="992" w:type="dxa"/>
            <w:vAlign w:val="top"/>
          </w:tcPr>
          <w:p w14:paraId="78D18F81">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auto"/>
                <w:kern w:val="0"/>
                <w:sz w:val="20"/>
                <w:szCs w:val="20"/>
                <w:u w:val="none"/>
                <w:lang w:val="en-US" w:eastAsia="zh-CN" w:bidi="ar"/>
              </w:rPr>
            </w:pPr>
            <w:r>
              <w:rPr>
                <w:rFonts w:hint="eastAsia" w:ascii="等线" w:hAnsi="等线" w:eastAsia="等线" w:cs="等线"/>
                <w:i w:val="0"/>
                <w:iCs w:val="0"/>
                <w:color w:val="auto"/>
                <w:kern w:val="0"/>
                <w:sz w:val="20"/>
                <w:szCs w:val="20"/>
                <w:u w:val="none"/>
                <w:lang w:val="en-US" w:eastAsia="zh-CN" w:bidi="ar"/>
              </w:rPr>
              <w:t xml:space="preserve">王震 </w:t>
            </w:r>
          </w:p>
          <w:p w14:paraId="149A073B">
            <w:pPr>
              <w:keepNext w:val="0"/>
              <w:keepLines w:val="0"/>
              <w:widowControl/>
              <w:suppressLineNumbers w:val="0"/>
              <w:spacing w:before="0" w:beforeAutospacing="0" w:after="0" w:afterAutospacing="0"/>
              <w:ind w:left="0" w:right="0"/>
              <w:jc w:val="center"/>
              <w:textAlignment w:val="bottom"/>
              <w:rPr>
                <w:rFonts w:hint="eastAsia" w:ascii="等线" w:hAnsi="等线" w:eastAsia="等线" w:cs="等线"/>
                <w:i w:val="0"/>
                <w:iCs w:val="0"/>
                <w:color w:val="auto"/>
                <w:kern w:val="0"/>
                <w:sz w:val="20"/>
                <w:szCs w:val="20"/>
                <w:u w:val="none"/>
                <w:lang w:val="en-US" w:eastAsia="zh-CN" w:bidi="ar"/>
              </w:rPr>
            </w:pPr>
            <w:r>
              <w:rPr>
                <w:rFonts w:hint="eastAsia" w:ascii="等线" w:hAnsi="等线" w:eastAsia="等线" w:cs="等线"/>
                <w:i w:val="0"/>
                <w:iCs w:val="0"/>
                <w:color w:val="auto"/>
                <w:kern w:val="0"/>
                <w:sz w:val="20"/>
                <w:szCs w:val="20"/>
                <w:u w:val="none"/>
                <w:lang w:val="en-US" w:eastAsia="zh-CN" w:bidi="ar"/>
              </w:rPr>
              <w:t xml:space="preserve">金紫凝 张桓睿 徐贵颖 张殿龙 方凤奇 邢华 </w:t>
            </w:r>
          </w:p>
          <w:p w14:paraId="3B8F661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auto"/>
                <w:kern w:val="0"/>
                <w:sz w:val="20"/>
                <w:szCs w:val="20"/>
                <w:u w:val="none"/>
                <w:lang w:val="en-US" w:eastAsia="zh-CN" w:bidi="ar"/>
              </w:rPr>
              <w:t>王嘉 郭宝良 祝国莲 刘永智 李杰清  蔡振刚 孙亮 张雨婷 周天扬 刘畅 周宝森 金锋 张研 宋东 陈波</w:t>
            </w:r>
          </w:p>
        </w:tc>
        <w:tc>
          <w:tcPr>
            <w:tcW w:w="1134" w:type="dxa"/>
            <w:vAlign w:val="top"/>
          </w:tcPr>
          <w:p w14:paraId="4DEB2409">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c>
          <w:tcPr>
            <w:tcW w:w="786" w:type="dxa"/>
            <w:vAlign w:val="bottom"/>
          </w:tcPr>
          <w:p w14:paraId="5B9C77A5">
            <w:pPr>
              <w:keepNext w:val="0"/>
              <w:keepLines w:val="0"/>
              <w:widowControl/>
              <w:suppressLineNumbers w:val="0"/>
              <w:spacing w:before="0" w:beforeAutospacing="0" w:after="0" w:afterAutospacing="0"/>
              <w:ind w:left="0" w:right="0"/>
              <w:jc w:val="left"/>
              <w:textAlignment w:val="bottom"/>
              <w:rPr>
                <w:rFonts w:hint="default" w:ascii="Times New Roman"/>
                <w:color w:val="000000"/>
                <w:sz w:val="20"/>
                <w:szCs w:val="20"/>
              </w:rPr>
            </w:pPr>
          </w:p>
        </w:tc>
      </w:tr>
      <w:tr w14:paraId="502D13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36" w:type="dxa"/>
            <w:vAlign w:val="center"/>
          </w:tcPr>
          <w:p w14:paraId="7743A8AC">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8</w:t>
            </w:r>
          </w:p>
        </w:tc>
        <w:tc>
          <w:tcPr>
            <w:tcW w:w="1148" w:type="dxa"/>
            <w:vAlign w:val="top"/>
          </w:tcPr>
          <w:p w14:paraId="440187A8">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论文</w:t>
            </w:r>
          </w:p>
        </w:tc>
        <w:tc>
          <w:tcPr>
            <w:tcW w:w="1578" w:type="dxa"/>
            <w:vAlign w:val="top"/>
          </w:tcPr>
          <w:p w14:paraId="7E9B82A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Style w:val="12"/>
                <w:sz w:val="20"/>
                <w:szCs w:val="20"/>
                <w:lang w:val="en-US" w:eastAsia="zh-CN" w:bidi="ar"/>
              </w:rPr>
              <w:t>EXOSC2 Mediates the Pro</w:t>
            </w:r>
            <w:r>
              <w:rPr>
                <w:rStyle w:val="13"/>
                <w:rFonts w:hint="default"/>
                <w:sz w:val="20"/>
                <w:szCs w:val="20"/>
                <w:lang w:val="en-US" w:eastAsia="zh-CN" w:bidi="ar"/>
              </w:rPr>
              <w:noBreakHyphen/>
            </w:r>
            <w:r>
              <w:rPr>
                <w:rStyle w:val="12"/>
                <w:sz w:val="20"/>
                <w:szCs w:val="20"/>
                <w:lang w:val="en-US" w:eastAsia="zh-CN" w:bidi="ar"/>
              </w:rPr>
              <w:t>tumor Role of WTAP in Breast Cancer Cells via Activating the Wnt/β-Catenin Signal</w:t>
            </w:r>
          </w:p>
        </w:tc>
        <w:tc>
          <w:tcPr>
            <w:tcW w:w="992" w:type="dxa"/>
            <w:vAlign w:val="top"/>
          </w:tcPr>
          <w:p w14:paraId="385A8B57">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087EF3A0">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7DAAFB04">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2023年10月19日</w:t>
            </w:r>
          </w:p>
        </w:tc>
        <w:tc>
          <w:tcPr>
            <w:tcW w:w="1106" w:type="dxa"/>
            <w:vAlign w:val="top"/>
          </w:tcPr>
          <w:p w14:paraId="37480008">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Style w:val="12"/>
                <w:rFonts w:hint="eastAsia"/>
                <w:i w:val="0"/>
                <w:iCs w:val="0"/>
                <w:color w:val="000000"/>
                <w:sz w:val="20"/>
                <w:szCs w:val="20"/>
                <w:lang w:val="en-US" w:eastAsia="zh-CN" w:bidi="ar"/>
              </w:rPr>
              <w:t>Molecular biotechnology. 2024 Sep;66(9):2569-82.</w:t>
            </w:r>
          </w:p>
        </w:tc>
        <w:tc>
          <w:tcPr>
            <w:tcW w:w="992" w:type="dxa"/>
            <w:vAlign w:val="top"/>
          </w:tcPr>
          <w:p w14:paraId="177DB0C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吕晨光 程瑶 张磊 吴国刚 梁春艳 陶祚 陈波</w:t>
            </w:r>
          </w:p>
        </w:tc>
        <w:tc>
          <w:tcPr>
            <w:tcW w:w="1134" w:type="dxa"/>
            <w:vAlign w:val="center"/>
          </w:tcPr>
          <w:p w14:paraId="291586AF">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c>
          <w:tcPr>
            <w:tcW w:w="786" w:type="dxa"/>
            <w:vAlign w:val="center"/>
          </w:tcPr>
          <w:p w14:paraId="5B1465E3">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25F20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36" w:type="dxa"/>
            <w:vAlign w:val="center"/>
          </w:tcPr>
          <w:p w14:paraId="7C1C3701">
            <w:pPr>
              <w:pStyle w:val="4"/>
              <w:keepNext w:val="0"/>
              <w:keepLines w:val="0"/>
              <w:suppressLineNumbers w:val="0"/>
              <w:spacing w:before="0" w:beforeAutospacing="0" w:after="0" w:afterAutospacing="0" w:line="390" w:lineRule="exact"/>
              <w:ind w:left="0" w:right="0" w:firstLine="0" w:firstLineChars="0"/>
              <w:jc w:val="center"/>
              <w:rPr>
                <w:rFonts w:hint="eastAsia" w:ascii="Times New Roman" w:eastAsia="宋体"/>
                <w:color w:val="000000"/>
                <w:szCs w:val="22"/>
                <w:lang w:val="en-US" w:eastAsia="zh-CN"/>
              </w:rPr>
            </w:pPr>
            <w:r>
              <w:rPr>
                <w:rFonts w:hint="eastAsia" w:ascii="Times New Roman"/>
                <w:color w:val="000000"/>
                <w:szCs w:val="22"/>
                <w:lang w:val="en-US" w:eastAsia="zh-CN"/>
              </w:rPr>
              <w:t>9</w:t>
            </w:r>
          </w:p>
        </w:tc>
        <w:tc>
          <w:tcPr>
            <w:tcW w:w="1148" w:type="dxa"/>
            <w:vAlign w:val="top"/>
          </w:tcPr>
          <w:p w14:paraId="36589C51">
            <w:pPr>
              <w:keepNext w:val="0"/>
              <w:keepLines w:val="0"/>
              <w:suppressLineNumbers w:val="0"/>
              <w:spacing w:before="0" w:beforeAutospacing="0" w:after="0" w:afterAutospacing="0"/>
              <w:ind w:left="0" w:right="0"/>
              <w:jc w:val="center"/>
              <w:rPr>
                <w:rFonts w:hint="eastAsia" w:ascii="Times New Roman" w:eastAsia="宋体"/>
                <w:color w:val="000000"/>
                <w:sz w:val="20"/>
                <w:szCs w:val="20"/>
                <w:lang w:val="en-US" w:eastAsia="zh-CN"/>
              </w:rPr>
            </w:pPr>
            <w:r>
              <w:rPr>
                <w:rFonts w:hint="eastAsia"/>
                <w:color w:val="000000"/>
                <w:sz w:val="20"/>
                <w:szCs w:val="20"/>
                <w:lang w:val="en-US" w:eastAsia="zh-CN"/>
              </w:rPr>
              <w:t>论文</w:t>
            </w:r>
          </w:p>
        </w:tc>
        <w:tc>
          <w:tcPr>
            <w:tcW w:w="1578" w:type="dxa"/>
            <w:vAlign w:val="top"/>
          </w:tcPr>
          <w:p w14:paraId="12B31AFE">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腋窝淋巴结手术对全乳房切除术联合即刻两期法乳房再造患者术后并发症的影响</w:t>
            </w:r>
          </w:p>
        </w:tc>
        <w:tc>
          <w:tcPr>
            <w:tcW w:w="992" w:type="dxa"/>
            <w:vAlign w:val="top"/>
          </w:tcPr>
          <w:p w14:paraId="0F7DD784">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w:t>
            </w:r>
          </w:p>
        </w:tc>
        <w:tc>
          <w:tcPr>
            <w:tcW w:w="850" w:type="dxa"/>
            <w:vAlign w:val="top"/>
          </w:tcPr>
          <w:p w14:paraId="4E3A1D1A">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879" w:type="dxa"/>
            <w:vAlign w:val="top"/>
          </w:tcPr>
          <w:p w14:paraId="3D3D438C">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2024年8月</w:t>
            </w:r>
          </w:p>
        </w:tc>
        <w:tc>
          <w:tcPr>
            <w:tcW w:w="1106" w:type="dxa"/>
            <w:vAlign w:val="top"/>
          </w:tcPr>
          <w:p w14:paraId="78A793BF">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中国医科大学学报,第53卷,第8期</w:t>
            </w:r>
          </w:p>
        </w:tc>
        <w:tc>
          <w:tcPr>
            <w:tcW w:w="992" w:type="dxa"/>
            <w:vAlign w:val="top"/>
          </w:tcPr>
          <w:p w14:paraId="552F08AA">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r>
              <w:rPr>
                <w:rFonts w:hint="eastAsia" w:ascii="等线" w:hAnsi="等线" w:eastAsia="等线" w:cs="等线"/>
                <w:i w:val="0"/>
                <w:iCs w:val="0"/>
                <w:color w:val="000000"/>
                <w:kern w:val="0"/>
                <w:sz w:val="20"/>
                <w:szCs w:val="20"/>
                <w:u w:val="none"/>
                <w:lang w:val="en-US" w:eastAsia="zh-CN" w:bidi="ar"/>
              </w:rPr>
              <w:t>李玲 陈波 韩思源</w:t>
            </w:r>
          </w:p>
        </w:tc>
        <w:tc>
          <w:tcPr>
            <w:tcW w:w="1134" w:type="dxa"/>
            <w:vAlign w:val="center"/>
          </w:tcPr>
          <w:p w14:paraId="7BA19AD2">
            <w:pPr>
              <w:keepNext w:val="0"/>
              <w:keepLines w:val="0"/>
              <w:suppressLineNumbers w:val="0"/>
              <w:spacing w:before="0" w:beforeAutospacing="0" w:after="0" w:afterAutospacing="0"/>
              <w:ind w:left="0" w:right="0"/>
              <w:jc w:val="center"/>
              <w:rPr>
                <w:rFonts w:hint="default" w:ascii="Times New Roman"/>
                <w:color w:val="000000"/>
                <w:sz w:val="20"/>
                <w:szCs w:val="20"/>
              </w:rPr>
            </w:pPr>
          </w:p>
        </w:tc>
        <w:tc>
          <w:tcPr>
            <w:tcW w:w="786" w:type="dxa"/>
            <w:vAlign w:val="center"/>
          </w:tcPr>
          <w:p w14:paraId="5AE2ECFD">
            <w:pPr>
              <w:keepNext w:val="0"/>
              <w:keepLines w:val="0"/>
              <w:widowControl/>
              <w:suppressLineNumbers w:val="0"/>
              <w:spacing w:before="0" w:beforeAutospacing="0" w:after="0" w:afterAutospacing="0"/>
              <w:ind w:left="0" w:right="0"/>
              <w:jc w:val="center"/>
              <w:textAlignment w:val="bottom"/>
              <w:rPr>
                <w:rFonts w:hint="default" w:ascii="Times New Roman"/>
                <w:color w:val="000000"/>
                <w:sz w:val="20"/>
                <w:szCs w:val="20"/>
              </w:rPr>
            </w:pPr>
          </w:p>
        </w:tc>
      </w:tr>
      <w:tr w14:paraId="4A39F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36" w:type="dxa"/>
            <w:tcBorders>
              <w:bottom w:val="single" w:color="auto" w:sz="8" w:space="0"/>
            </w:tcBorders>
            <w:vAlign w:val="center"/>
          </w:tcPr>
          <w:p w14:paraId="2A283E99">
            <w:pPr>
              <w:pStyle w:val="4"/>
              <w:keepNext w:val="0"/>
              <w:keepLines w:val="0"/>
              <w:suppressLineNumbers w:val="0"/>
              <w:spacing w:before="0" w:beforeAutospacing="0" w:after="0" w:afterAutospacing="0" w:line="390" w:lineRule="exact"/>
              <w:ind w:left="0" w:right="0" w:firstLine="0" w:firstLineChars="0"/>
              <w:jc w:val="center"/>
              <w:rPr>
                <w:rFonts w:hint="default" w:ascii="Times New Roman" w:eastAsia="宋体"/>
                <w:color w:val="000000"/>
                <w:szCs w:val="22"/>
                <w:lang w:val="en-US" w:eastAsia="zh-CN"/>
              </w:rPr>
            </w:pPr>
            <w:r>
              <w:rPr>
                <w:rFonts w:hint="eastAsia" w:ascii="Times New Roman"/>
                <w:color w:val="000000"/>
                <w:szCs w:val="22"/>
                <w:lang w:val="en-US" w:eastAsia="zh-CN"/>
              </w:rPr>
              <w:t>10</w:t>
            </w:r>
          </w:p>
        </w:tc>
        <w:tc>
          <w:tcPr>
            <w:tcW w:w="1148" w:type="dxa"/>
            <w:tcBorders>
              <w:bottom w:val="single" w:color="auto" w:sz="8" w:space="0"/>
            </w:tcBorders>
            <w:vAlign w:val="top"/>
          </w:tcPr>
          <w:p w14:paraId="41A6D057">
            <w:pPr>
              <w:keepNext w:val="0"/>
              <w:keepLines w:val="0"/>
              <w:widowControl/>
              <w:suppressLineNumbers w:val="0"/>
              <w:jc w:val="center"/>
              <w:textAlignment w:val="bottom"/>
              <w:rPr>
                <w:rFonts w:hint="default" w:ascii="Times New Roman"/>
                <w:color w:val="000000"/>
                <w:sz w:val="21"/>
                <w:szCs w:val="21"/>
              </w:rPr>
            </w:pPr>
            <w:r>
              <w:rPr>
                <w:rFonts w:hint="default" w:ascii="serif" w:hAnsi="serif" w:eastAsia="serif" w:cs="serif"/>
                <w:i w:val="0"/>
                <w:iCs w:val="0"/>
                <w:color w:val="000000"/>
                <w:kern w:val="0"/>
                <w:sz w:val="21"/>
                <w:szCs w:val="21"/>
                <w:u w:val="none"/>
                <w:lang w:val="en-US" w:eastAsia="zh-CN" w:bidi="ar"/>
              </w:rPr>
              <w:t>论文</w:t>
            </w:r>
          </w:p>
        </w:tc>
        <w:tc>
          <w:tcPr>
            <w:tcW w:w="1578" w:type="dxa"/>
            <w:tcBorders>
              <w:bottom w:val="single" w:color="auto" w:sz="8" w:space="0"/>
            </w:tcBorders>
            <w:vAlign w:val="top"/>
          </w:tcPr>
          <w:p w14:paraId="3ED85473">
            <w:pPr>
              <w:keepNext w:val="0"/>
              <w:keepLines w:val="0"/>
              <w:widowControl/>
              <w:suppressLineNumbers w:val="0"/>
              <w:jc w:val="center"/>
              <w:textAlignment w:val="bottom"/>
              <w:rPr>
                <w:rFonts w:hint="default" w:ascii="Times New Roman"/>
                <w:color w:val="000000"/>
                <w:sz w:val="18"/>
                <w:szCs w:val="18"/>
              </w:rPr>
            </w:pPr>
            <w:r>
              <w:rPr>
                <w:rFonts w:hint="eastAsia" w:ascii="等线" w:hAnsi="等线" w:eastAsia="等线" w:cs="等线"/>
                <w:i w:val="0"/>
                <w:iCs w:val="0"/>
                <w:color w:val="000000"/>
                <w:kern w:val="0"/>
                <w:sz w:val="18"/>
                <w:szCs w:val="18"/>
                <w:u w:val="none"/>
                <w:lang w:val="en-US" w:eastAsia="zh-CN" w:bidi="ar"/>
              </w:rPr>
              <w:t>When will the immune-stimulating antibody conjugates (ISACs) be transferred from bench to bedside?</w:t>
            </w:r>
          </w:p>
        </w:tc>
        <w:tc>
          <w:tcPr>
            <w:tcW w:w="992" w:type="dxa"/>
            <w:tcBorders>
              <w:bottom w:val="single" w:color="auto" w:sz="8" w:space="0"/>
            </w:tcBorders>
            <w:vAlign w:val="top"/>
          </w:tcPr>
          <w:p w14:paraId="77A77648">
            <w:pPr>
              <w:jc w:val="center"/>
              <w:rPr>
                <w:rFonts w:hint="default" w:ascii="Times New Roman"/>
                <w:color w:val="000000"/>
                <w:sz w:val="18"/>
                <w:szCs w:val="18"/>
              </w:rPr>
            </w:pPr>
            <w:r>
              <w:rPr>
                <w:rFonts w:hint="eastAsia" w:ascii="等线" w:hAnsi="等线" w:eastAsia="等线" w:cs="等线"/>
                <w:i w:val="0"/>
                <w:iCs w:val="0"/>
                <w:color w:val="000000"/>
                <w:kern w:val="0"/>
                <w:sz w:val="18"/>
                <w:szCs w:val="18"/>
                <w:u w:val="none"/>
                <w:lang w:val="en-US" w:eastAsia="zh-CN" w:bidi="ar"/>
              </w:rPr>
              <w:t>中国</w:t>
            </w:r>
          </w:p>
        </w:tc>
        <w:tc>
          <w:tcPr>
            <w:tcW w:w="850" w:type="dxa"/>
            <w:tcBorders>
              <w:bottom w:val="single" w:color="auto" w:sz="8" w:space="0"/>
            </w:tcBorders>
            <w:vAlign w:val="top"/>
          </w:tcPr>
          <w:p w14:paraId="7B830349">
            <w:pPr>
              <w:jc w:val="center"/>
              <w:rPr>
                <w:rFonts w:hint="default" w:ascii="Times New Roman"/>
                <w:color w:val="000000"/>
                <w:sz w:val="18"/>
                <w:szCs w:val="18"/>
              </w:rPr>
            </w:pPr>
          </w:p>
        </w:tc>
        <w:tc>
          <w:tcPr>
            <w:tcW w:w="879" w:type="dxa"/>
            <w:tcBorders>
              <w:bottom w:val="single" w:color="auto" w:sz="8" w:space="0"/>
            </w:tcBorders>
            <w:vAlign w:val="top"/>
          </w:tcPr>
          <w:p w14:paraId="081A20D1">
            <w:pPr>
              <w:keepNext w:val="0"/>
              <w:keepLines w:val="0"/>
              <w:widowControl/>
              <w:suppressLineNumbers w:val="0"/>
              <w:jc w:val="center"/>
              <w:textAlignment w:val="bottom"/>
              <w:rPr>
                <w:rFonts w:hint="default" w:ascii="Times New Roman"/>
                <w:color w:val="000000"/>
                <w:sz w:val="18"/>
                <w:szCs w:val="18"/>
              </w:rPr>
            </w:pPr>
            <w:r>
              <w:rPr>
                <w:rFonts w:hint="eastAsia" w:ascii="等线" w:hAnsi="等线" w:eastAsia="等线" w:cs="等线"/>
                <w:i w:val="0"/>
                <w:iCs w:val="0"/>
                <w:color w:val="000000"/>
                <w:kern w:val="0"/>
                <w:sz w:val="18"/>
                <w:szCs w:val="18"/>
                <w:u w:val="none"/>
                <w:lang w:val="en-US" w:eastAsia="zh-CN" w:bidi="ar"/>
              </w:rPr>
              <w:t>2024年3月26日</w:t>
            </w:r>
          </w:p>
        </w:tc>
        <w:tc>
          <w:tcPr>
            <w:tcW w:w="1106" w:type="dxa"/>
            <w:tcBorders>
              <w:bottom w:val="single" w:color="auto" w:sz="8" w:space="0"/>
            </w:tcBorders>
            <w:vAlign w:val="top"/>
          </w:tcPr>
          <w:p w14:paraId="41D07E72">
            <w:pPr>
              <w:keepNext w:val="0"/>
              <w:keepLines w:val="0"/>
              <w:widowControl/>
              <w:suppressLineNumbers w:val="0"/>
              <w:jc w:val="center"/>
              <w:textAlignment w:val="bottom"/>
              <w:rPr>
                <w:rFonts w:hint="default" w:ascii="Times New Roman"/>
                <w:color w:val="000000"/>
                <w:sz w:val="18"/>
                <w:szCs w:val="18"/>
              </w:rPr>
            </w:pPr>
            <w:r>
              <w:rPr>
                <w:rFonts w:hint="eastAsia" w:ascii="等线" w:hAnsi="等线" w:eastAsia="等线" w:cs="等线"/>
                <w:i w:val="0"/>
                <w:iCs w:val="0"/>
                <w:color w:val="000000"/>
                <w:kern w:val="0"/>
                <w:sz w:val="18"/>
                <w:szCs w:val="18"/>
                <w:u w:val="none"/>
                <w:lang w:val="en-US" w:eastAsia="zh-CN" w:bidi="ar"/>
              </w:rPr>
              <w:t>Pharmacological Research. 2024 Mar 26:107160.</w:t>
            </w:r>
          </w:p>
        </w:tc>
        <w:tc>
          <w:tcPr>
            <w:tcW w:w="992" w:type="dxa"/>
            <w:tcBorders>
              <w:bottom w:val="single" w:color="auto" w:sz="8" w:space="0"/>
            </w:tcBorders>
            <w:vAlign w:val="top"/>
          </w:tcPr>
          <w:p w14:paraId="1381155E">
            <w:pPr>
              <w:keepNext w:val="0"/>
              <w:keepLines w:val="0"/>
              <w:widowControl/>
              <w:suppressLineNumbers w:val="0"/>
              <w:jc w:val="center"/>
              <w:textAlignment w:val="bottom"/>
              <w:rPr>
                <w:rFonts w:hint="default" w:ascii="Times New Roman"/>
                <w:color w:val="000000"/>
                <w:sz w:val="18"/>
                <w:szCs w:val="18"/>
              </w:rPr>
            </w:pPr>
            <w:r>
              <w:rPr>
                <w:rFonts w:hint="eastAsia" w:ascii="等线" w:hAnsi="等线" w:eastAsia="等线" w:cs="等线"/>
                <w:i w:val="0"/>
                <w:iCs w:val="0"/>
                <w:color w:val="000000"/>
                <w:kern w:val="0"/>
                <w:sz w:val="18"/>
                <w:szCs w:val="18"/>
                <w:u w:val="none"/>
                <w:lang w:val="en-US" w:eastAsia="zh-CN" w:bidi="ar"/>
              </w:rPr>
              <w:t>付晨 佟威威 于丽凤 苗雨曦 卫倩 于兆进 陈波 魏敏杰</w:t>
            </w:r>
          </w:p>
        </w:tc>
        <w:tc>
          <w:tcPr>
            <w:tcW w:w="1134" w:type="dxa"/>
            <w:tcBorders>
              <w:bottom w:val="single" w:color="auto" w:sz="8" w:space="0"/>
            </w:tcBorders>
            <w:vAlign w:val="center"/>
          </w:tcPr>
          <w:p w14:paraId="643F2BC1">
            <w:pPr>
              <w:jc w:val="center"/>
              <w:rPr>
                <w:rFonts w:hint="default" w:ascii="Times New Roman"/>
                <w:color w:val="000000"/>
                <w:sz w:val="21"/>
                <w:szCs w:val="21"/>
              </w:rPr>
            </w:pPr>
          </w:p>
        </w:tc>
        <w:tc>
          <w:tcPr>
            <w:tcW w:w="786" w:type="dxa"/>
            <w:tcBorders>
              <w:bottom w:val="single" w:color="auto" w:sz="8" w:space="0"/>
            </w:tcBorders>
            <w:vAlign w:val="center"/>
          </w:tcPr>
          <w:p w14:paraId="7DBEE530">
            <w:pPr>
              <w:keepNext w:val="0"/>
              <w:keepLines w:val="0"/>
              <w:widowControl/>
              <w:suppressLineNumbers w:val="0"/>
              <w:jc w:val="center"/>
              <w:textAlignment w:val="bottom"/>
              <w:rPr>
                <w:rFonts w:hint="default" w:ascii="Times New Roman"/>
                <w:color w:val="000000"/>
                <w:sz w:val="21"/>
                <w:szCs w:val="21"/>
              </w:rPr>
            </w:pPr>
          </w:p>
        </w:tc>
      </w:tr>
    </w:tbl>
    <w:p w14:paraId="3D61850A">
      <w:pPr>
        <w:pStyle w:val="4"/>
        <w:spacing w:line="240" w:lineRule="auto"/>
        <w:ind w:firstLine="0" w:firstLineChars="0"/>
        <w:jc w:val="left"/>
        <w:outlineLvl w:val="1"/>
        <w:rPr>
          <w:rFonts w:hint="default" w:ascii="楷体" w:hAnsi="楷体" w:eastAsia="楷体" w:cs="楷体"/>
          <w:b/>
          <w:color w:val="0D0D0D"/>
          <w:sz w:val="28"/>
          <w:lang w:val="en-US" w:eastAsia="zh-CN"/>
        </w:rPr>
      </w:pPr>
      <w:r>
        <w:rPr>
          <w:rFonts w:hint="eastAsia" w:ascii="楷体" w:hAnsi="楷体" w:eastAsia="楷体" w:cs="楷体"/>
          <w:b/>
          <w:color w:val="0D0D0D"/>
          <w:sz w:val="28"/>
        </w:rPr>
        <w:t>主要完成人、完成单位</w:t>
      </w:r>
      <w:r>
        <w:rPr>
          <w:rFonts w:hint="eastAsia" w:ascii="楷体" w:hAnsi="楷体" w:eastAsia="楷体" w:cs="楷体"/>
          <w:b/>
          <w:color w:val="0D0D0D"/>
          <w:sz w:val="28"/>
          <w:lang w:val="en-US" w:eastAsia="zh-CN"/>
        </w:rPr>
        <w:t>和工作单位</w:t>
      </w:r>
    </w:p>
    <w:tbl>
      <w:tblPr>
        <w:tblStyle w:val="7"/>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940"/>
        <w:gridCol w:w="3163"/>
        <w:gridCol w:w="3114"/>
      </w:tblGrid>
      <w:tr w14:paraId="28E3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14:paraId="54989DA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rPr>
            </w:pPr>
            <w:r>
              <w:rPr>
                <w:rFonts w:hint="eastAsia" w:ascii="Times New Roman" w:hAnsi="Times New Roman" w:eastAsia="楷体" w:cs="Times New Roman"/>
                <w:b/>
                <w:bCs/>
                <w:sz w:val="24"/>
                <w:szCs w:val="20"/>
              </w:rPr>
              <w:t>序号</w:t>
            </w:r>
          </w:p>
        </w:tc>
        <w:tc>
          <w:tcPr>
            <w:tcW w:w="1940" w:type="dxa"/>
          </w:tcPr>
          <w:p w14:paraId="6742FCB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rPr>
            </w:pPr>
            <w:r>
              <w:rPr>
                <w:rFonts w:hint="eastAsia" w:ascii="Times New Roman" w:hAnsi="Times New Roman" w:eastAsia="楷体" w:cs="Times New Roman"/>
                <w:b/>
                <w:bCs/>
                <w:sz w:val="24"/>
                <w:szCs w:val="20"/>
              </w:rPr>
              <w:t>完成人姓名</w:t>
            </w:r>
          </w:p>
        </w:tc>
        <w:tc>
          <w:tcPr>
            <w:tcW w:w="3163" w:type="dxa"/>
          </w:tcPr>
          <w:p w14:paraId="0DBA5EA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rPr>
            </w:pPr>
            <w:r>
              <w:rPr>
                <w:rFonts w:hint="eastAsia" w:ascii="Times New Roman" w:hAnsi="Times New Roman" w:eastAsia="楷体" w:cs="Times New Roman"/>
                <w:b/>
                <w:bCs/>
                <w:sz w:val="24"/>
                <w:szCs w:val="20"/>
              </w:rPr>
              <w:t>完成单位</w:t>
            </w:r>
          </w:p>
        </w:tc>
        <w:tc>
          <w:tcPr>
            <w:tcW w:w="3114" w:type="dxa"/>
          </w:tcPr>
          <w:p w14:paraId="066DCEA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b/>
                <w:bCs/>
                <w:sz w:val="24"/>
                <w:szCs w:val="20"/>
              </w:rPr>
            </w:pPr>
            <w:r>
              <w:rPr>
                <w:rFonts w:hint="eastAsia" w:ascii="Times New Roman" w:hAnsi="Times New Roman" w:eastAsia="楷体" w:cs="Times New Roman"/>
                <w:b/>
                <w:bCs/>
                <w:sz w:val="24"/>
                <w:szCs w:val="20"/>
              </w:rPr>
              <w:t>工作单位</w:t>
            </w:r>
          </w:p>
        </w:tc>
      </w:tr>
      <w:tr w14:paraId="47BC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51" w:type="dxa"/>
            <w:vAlign w:val="center"/>
          </w:tcPr>
          <w:p w14:paraId="5E2741BF">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rPr>
            </w:pPr>
            <w:r>
              <w:rPr>
                <w:rFonts w:hint="default" w:ascii="Times New Roman"/>
                <w:color w:val="auto"/>
                <w:sz w:val="21"/>
                <w:szCs w:val="28"/>
              </w:rPr>
              <w:t>1</w:t>
            </w:r>
          </w:p>
        </w:tc>
        <w:tc>
          <w:tcPr>
            <w:tcW w:w="1940" w:type="dxa"/>
          </w:tcPr>
          <w:p w14:paraId="5CB0D2DE">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lang w:val="en-US" w:eastAsia="zh-CN"/>
              </w:rPr>
            </w:pPr>
            <w:r>
              <w:rPr>
                <w:rFonts w:hint="eastAsia" w:eastAsia="楷体" w:cs="Times New Roman"/>
                <w:sz w:val="24"/>
                <w:szCs w:val="20"/>
                <w:lang w:val="en-US" w:eastAsia="zh-CN"/>
              </w:rPr>
              <w:t>陈波</w:t>
            </w:r>
          </w:p>
        </w:tc>
        <w:tc>
          <w:tcPr>
            <w:tcW w:w="3163" w:type="dxa"/>
          </w:tcPr>
          <w:p w14:paraId="0400C94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lang w:val="en-US" w:eastAsia="zh-CN"/>
              </w:rPr>
            </w:pPr>
            <w:r>
              <w:rPr>
                <w:rFonts w:hint="eastAsia" w:eastAsia="楷体" w:cs="Times New Roman"/>
                <w:sz w:val="24"/>
                <w:szCs w:val="20"/>
                <w:lang w:val="en-US" w:eastAsia="zh-CN"/>
              </w:rPr>
              <w:t>中国医科大学附属第一医院</w:t>
            </w:r>
          </w:p>
        </w:tc>
        <w:tc>
          <w:tcPr>
            <w:tcW w:w="3114" w:type="dxa"/>
          </w:tcPr>
          <w:p w14:paraId="70FBF6B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eastAsia="楷体" w:cs="Times New Roman"/>
                <w:sz w:val="24"/>
                <w:szCs w:val="20"/>
                <w:lang w:val="en-US" w:eastAsia="zh-CN"/>
              </w:rPr>
              <w:t>中国医科大学附属第一医院</w:t>
            </w:r>
          </w:p>
        </w:tc>
      </w:tr>
      <w:tr w14:paraId="415F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E2C7540">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rPr>
            </w:pPr>
            <w:r>
              <w:rPr>
                <w:rFonts w:hint="default" w:ascii="Times New Roman"/>
                <w:color w:val="auto"/>
                <w:sz w:val="21"/>
                <w:szCs w:val="28"/>
              </w:rPr>
              <w:t>2</w:t>
            </w:r>
          </w:p>
        </w:tc>
        <w:tc>
          <w:tcPr>
            <w:tcW w:w="1940" w:type="dxa"/>
          </w:tcPr>
          <w:p w14:paraId="78D540FC">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lang w:val="en-US" w:eastAsia="zh-CN"/>
              </w:rPr>
            </w:pPr>
            <w:r>
              <w:rPr>
                <w:rFonts w:hint="eastAsia" w:eastAsia="楷体" w:cs="Times New Roman"/>
                <w:sz w:val="24"/>
                <w:szCs w:val="20"/>
                <w:lang w:val="en-US" w:eastAsia="zh-CN"/>
              </w:rPr>
              <w:t>金紫凝</w:t>
            </w:r>
          </w:p>
        </w:tc>
        <w:tc>
          <w:tcPr>
            <w:tcW w:w="3163" w:type="dxa"/>
            <w:shd w:val="clear" w:color="auto" w:fill="auto"/>
            <w:vAlign w:val="top"/>
          </w:tcPr>
          <w:p w14:paraId="2A62710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lang w:val="en-US" w:eastAsia="zh-CN" w:bidi="ar-SA"/>
              </w:rPr>
            </w:pPr>
            <w:r>
              <w:rPr>
                <w:rFonts w:hint="eastAsia" w:eastAsia="楷体" w:cs="Times New Roman"/>
                <w:sz w:val="24"/>
                <w:szCs w:val="20"/>
                <w:lang w:val="en-US" w:eastAsia="zh-CN"/>
              </w:rPr>
              <w:t>中国医科大学附属第一医院</w:t>
            </w:r>
          </w:p>
        </w:tc>
        <w:tc>
          <w:tcPr>
            <w:tcW w:w="3114" w:type="dxa"/>
            <w:shd w:val="clear" w:color="auto" w:fill="auto"/>
            <w:vAlign w:val="top"/>
          </w:tcPr>
          <w:p w14:paraId="4645273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lang w:val="en-US" w:eastAsia="zh-CN" w:bidi="ar-SA"/>
              </w:rPr>
            </w:pPr>
            <w:r>
              <w:rPr>
                <w:rFonts w:hint="eastAsia" w:eastAsia="楷体" w:cs="Times New Roman"/>
                <w:sz w:val="24"/>
                <w:szCs w:val="20"/>
                <w:lang w:val="en-US" w:eastAsia="zh-CN"/>
              </w:rPr>
              <w:t>中国医科大学附属第一医院</w:t>
            </w:r>
          </w:p>
        </w:tc>
      </w:tr>
      <w:tr w14:paraId="6CF9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38EE215">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rPr>
            </w:pPr>
            <w:r>
              <w:rPr>
                <w:rFonts w:hint="default" w:ascii="Times New Roman"/>
                <w:color w:val="auto"/>
                <w:sz w:val="21"/>
                <w:szCs w:val="28"/>
              </w:rPr>
              <w:t>3</w:t>
            </w:r>
          </w:p>
        </w:tc>
        <w:tc>
          <w:tcPr>
            <w:tcW w:w="1940" w:type="dxa"/>
          </w:tcPr>
          <w:p w14:paraId="06BD3722">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lang w:val="en-US" w:eastAsia="zh-CN"/>
              </w:rPr>
            </w:pPr>
            <w:r>
              <w:rPr>
                <w:rFonts w:hint="eastAsia" w:eastAsia="楷体" w:cs="Times New Roman"/>
                <w:sz w:val="24"/>
                <w:szCs w:val="20"/>
                <w:lang w:val="en-US" w:eastAsia="zh-CN"/>
              </w:rPr>
              <w:t>张磊</w:t>
            </w:r>
          </w:p>
        </w:tc>
        <w:tc>
          <w:tcPr>
            <w:tcW w:w="3163" w:type="dxa"/>
            <w:shd w:val="clear" w:color="auto" w:fill="auto"/>
            <w:vAlign w:val="top"/>
          </w:tcPr>
          <w:p w14:paraId="5636C0EC">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lang w:val="en-US" w:eastAsia="zh-CN" w:bidi="ar-SA"/>
              </w:rPr>
            </w:pPr>
            <w:r>
              <w:rPr>
                <w:rFonts w:hint="eastAsia" w:eastAsia="楷体" w:cs="Times New Roman"/>
                <w:sz w:val="24"/>
                <w:szCs w:val="20"/>
                <w:lang w:val="en-US" w:eastAsia="zh-CN"/>
              </w:rPr>
              <w:t>中国医科大学附属第一医院</w:t>
            </w:r>
          </w:p>
        </w:tc>
        <w:tc>
          <w:tcPr>
            <w:tcW w:w="3114" w:type="dxa"/>
            <w:shd w:val="clear" w:color="auto" w:fill="auto"/>
            <w:vAlign w:val="top"/>
          </w:tcPr>
          <w:p w14:paraId="42F4ED65">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kern w:val="2"/>
                <w:sz w:val="24"/>
                <w:szCs w:val="20"/>
                <w:lang w:val="en-US" w:eastAsia="zh-CN" w:bidi="ar-SA"/>
              </w:rPr>
            </w:pPr>
            <w:r>
              <w:rPr>
                <w:rFonts w:hint="eastAsia" w:eastAsia="楷体" w:cs="Times New Roman"/>
                <w:sz w:val="24"/>
                <w:szCs w:val="20"/>
                <w:lang w:val="en-US" w:eastAsia="zh-CN"/>
              </w:rPr>
              <w:t>中国医科大学附属第一医院</w:t>
            </w:r>
          </w:p>
        </w:tc>
      </w:tr>
      <w:tr w14:paraId="3802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519178A3">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rPr>
            </w:pPr>
            <w:r>
              <w:rPr>
                <w:rFonts w:hint="default" w:ascii="Times New Roman"/>
                <w:color w:val="auto"/>
                <w:sz w:val="21"/>
                <w:szCs w:val="28"/>
              </w:rPr>
              <w:t>4</w:t>
            </w:r>
          </w:p>
        </w:tc>
        <w:tc>
          <w:tcPr>
            <w:tcW w:w="1940" w:type="dxa"/>
          </w:tcPr>
          <w:p w14:paraId="5E4980DC">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lang w:val="en-US" w:eastAsia="zh-CN"/>
              </w:rPr>
            </w:pPr>
            <w:r>
              <w:rPr>
                <w:rFonts w:hint="eastAsia" w:eastAsia="楷体" w:cs="Times New Roman"/>
                <w:sz w:val="24"/>
                <w:szCs w:val="20"/>
                <w:lang w:val="en-US" w:eastAsia="zh-CN"/>
              </w:rPr>
              <w:t>刘真真</w:t>
            </w:r>
          </w:p>
        </w:tc>
        <w:tc>
          <w:tcPr>
            <w:tcW w:w="3163" w:type="dxa"/>
          </w:tcPr>
          <w:p w14:paraId="2162F93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河南省肿瘤医院</w:t>
            </w:r>
          </w:p>
        </w:tc>
        <w:tc>
          <w:tcPr>
            <w:tcW w:w="3114" w:type="dxa"/>
            <w:vAlign w:val="center"/>
          </w:tcPr>
          <w:p w14:paraId="59E1CAF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河南省肿瘤医院</w:t>
            </w:r>
          </w:p>
        </w:tc>
      </w:tr>
      <w:tr w14:paraId="178C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20FC5C00">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hAnsi="Times New Roman" w:eastAsia="楷体" w:cs="Times New Roman"/>
                <w:sz w:val="24"/>
                <w:szCs w:val="20"/>
              </w:rPr>
            </w:pPr>
            <w:r>
              <w:rPr>
                <w:rFonts w:hint="default" w:ascii="Times New Roman"/>
                <w:color w:val="auto"/>
                <w:sz w:val="21"/>
                <w:szCs w:val="28"/>
              </w:rPr>
              <w:t>5</w:t>
            </w:r>
          </w:p>
        </w:tc>
        <w:tc>
          <w:tcPr>
            <w:tcW w:w="1940" w:type="dxa"/>
          </w:tcPr>
          <w:p w14:paraId="371CE906">
            <w:pPr>
              <w:keepNext w:val="0"/>
              <w:keepLines w:val="0"/>
              <w:widowControl/>
              <w:suppressLineNumbers w:val="0"/>
              <w:spacing w:before="0" w:beforeAutospacing="0" w:after="0" w:afterAutospacing="0" w:line="360" w:lineRule="auto"/>
              <w:ind w:left="0" w:right="0"/>
              <w:jc w:val="center"/>
              <w:rPr>
                <w:rFonts w:hint="eastAsia" w:ascii="Times New Roman" w:hAnsi="Times New Roman" w:eastAsia="楷体" w:cs="Times New Roman"/>
                <w:sz w:val="24"/>
                <w:szCs w:val="20"/>
                <w:lang w:val="en-US" w:eastAsia="zh-CN"/>
              </w:rPr>
            </w:pPr>
            <w:r>
              <w:rPr>
                <w:rFonts w:hint="eastAsia" w:eastAsia="楷体" w:cs="Times New Roman"/>
                <w:sz w:val="24"/>
                <w:szCs w:val="20"/>
                <w:lang w:val="en-US" w:eastAsia="zh-CN"/>
              </w:rPr>
              <w:t>吕晨光</w:t>
            </w:r>
          </w:p>
        </w:tc>
        <w:tc>
          <w:tcPr>
            <w:tcW w:w="3163" w:type="dxa"/>
          </w:tcPr>
          <w:p w14:paraId="67B71E8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中国人民解放军北部战区总医院</w:t>
            </w:r>
          </w:p>
        </w:tc>
        <w:tc>
          <w:tcPr>
            <w:tcW w:w="3114" w:type="dxa"/>
          </w:tcPr>
          <w:p w14:paraId="23068CA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中国人民解放军北部战区总医院</w:t>
            </w:r>
          </w:p>
        </w:tc>
      </w:tr>
      <w:tr w14:paraId="230B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4F29EF51">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6</w:t>
            </w:r>
          </w:p>
        </w:tc>
        <w:tc>
          <w:tcPr>
            <w:tcW w:w="1940" w:type="dxa"/>
          </w:tcPr>
          <w:p w14:paraId="6A7F2617">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梁春艳</w:t>
            </w:r>
          </w:p>
        </w:tc>
        <w:tc>
          <w:tcPr>
            <w:tcW w:w="3163" w:type="dxa"/>
          </w:tcPr>
          <w:p w14:paraId="2FC68782">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中国医科大学附属第四医院</w:t>
            </w:r>
          </w:p>
        </w:tc>
        <w:tc>
          <w:tcPr>
            <w:tcW w:w="3114" w:type="dxa"/>
          </w:tcPr>
          <w:p w14:paraId="1082E649">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中国医科大学附属第四医院</w:t>
            </w:r>
          </w:p>
        </w:tc>
      </w:tr>
      <w:tr w14:paraId="7070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53A111D">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7</w:t>
            </w:r>
          </w:p>
        </w:tc>
        <w:tc>
          <w:tcPr>
            <w:tcW w:w="1940" w:type="dxa"/>
          </w:tcPr>
          <w:p w14:paraId="4EBB23EB">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尚方剑</w:t>
            </w:r>
          </w:p>
        </w:tc>
        <w:tc>
          <w:tcPr>
            <w:tcW w:w="3163" w:type="dxa"/>
          </w:tcPr>
          <w:p w14:paraId="425AABC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中国医科大学附属第四医院</w:t>
            </w:r>
          </w:p>
        </w:tc>
        <w:tc>
          <w:tcPr>
            <w:tcW w:w="3114" w:type="dxa"/>
          </w:tcPr>
          <w:p w14:paraId="0F6FA12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中国医科大学附属第四医院</w:t>
            </w:r>
          </w:p>
        </w:tc>
      </w:tr>
      <w:tr w14:paraId="1454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1F70E3EB">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8</w:t>
            </w:r>
          </w:p>
        </w:tc>
        <w:tc>
          <w:tcPr>
            <w:tcW w:w="1940" w:type="dxa"/>
          </w:tcPr>
          <w:p w14:paraId="4D0E685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蔡首亮</w:t>
            </w:r>
          </w:p>
        </w:tc>
        <w:tc>
          <w:tcPr>
            <w:tcW w:w="3163" w:type="dxa"/>
          </w:tcPr>
          <w:p w14:paraId="5A045B3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鞍钢集团公司总医院</w:t>
            </w:r>
          </w:p>
        </w:tc>
        <w:tc>
          <w:tcPr>
            <w:tcW w:w="3114" w:type="dxa"/>
          </w:tcPr>
          <w:p w14:paraId="7C3CEA7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鞍钢集团公司总医院</w:t>
            </w:r>
          </w:p>
        </w:tc>
      </w:tr>
      <w:tr w14:paraId="29CC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3E1C0E1A">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eastAsia" w:ascii="Times New Roman" w:eastAsia="宋体"/>
                <w:color w:val="auto"/>
                <w:sz w:val="21"/>
                <w:szCs w:val="28"/>
                <w:lang w:val="en-US" w:eastAsia="zh-CN"/>
              </w:rPr>
            </w:pPr>
            <w:r>
              <w:rPr>
                <w:rFonts w:hint="eastAsia" w:ascii="Times New Roman"/>
                <w:color w:val="auto"/>
                <w:sz w:val="21"/>
                <w:szCs w:val="28"/>
                <w:lang w:val="en-US" w:eastAsia="zh-CN"/>
              </w:rPr>
              <w:t>9</w:t>
            </w:r>
          </w:p>
        </w:tc>
        <w:tc>
          <w:tcPr>
            <w:tcW w:w="1940" w:type="dxa"/>
          </w:tcPr>
          <w:p w14:paraId="119F901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ascii="Times New Roman" w:hAnsi="Times New Roman" w:eastAsia="楷体" w:cs="Times New Roman"/>
                <w:sz w:val="24"/>
                <w:szCs w:val="20"/>
              </w:rPr>
              <w:t>李玲</w:t>
            </w:r>
          </w:p>
        </w:tc>
        <w:tc>
          <w:tcPr>
            <w:tcW w:w="3163" w:type="dxa"/>
          </w:tcPr>
          <w:p w14:paraId="07F0D34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eastAsia="楷体" w:cs="Times New Roman"/>
                <w:sz w:val="24"/>
                <w:szCs w:val="20"/>
                <w:lang w:val="en-US" w:eastAsia="zh-CN"/>
              </w:rPr>
              <w:t>中国医科大学附属第一医院</w:t>
            </w:r>
          </w:p>
        </w:tc>
        <w:tc>
          <w:tcPr>
            <w:tcW w:w="3114" w:type="dxa"/>
          </w:tcPr>
          <w:p w14:paraId="1E207675">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r>
              <w:rPr>
                <w:rFonts w:hint="eastAsia" w:eastAsia="楷体" w:cs="Times New Roman"/>
                <w:sz w:val="24"/>
                <w:szCs w:val="20"/>
                <w:lang w:val="en-US" w:eastAsia="zh-CN"/>
              </w:rPr>
              <w:t>中国医科大学附属第一医院</w:t>
            </w:r>
          </w:p>
        </w:tc>
      </w:tr>
      <w:tr w14:paraId="677F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63B00C59">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eastAsia="宋体"/>
                <w:color w:val="auto"/>
                <w:sz w:val="21"/>
                <w:szCs w:val="28"/>
                <w:lang w:val="en-US" w:eastAsia="zh-CN"/>
              </w:rPr>
            </w:pPr>
            <w:r>
              <w:rPr>
                <w:rFonts w:hint="eastAsia" w:ascii="Times New Roman"/>
                <w:color w:val="auto"/>
                <w:sz w:val="21"/>
                <w:szCs w:val="28"/>
                <w:lang w:val="en-US" w:eastAsia="zh-CN"/>
              </w:rPr>
              <w:t>10</w:t>
            </w:r>
          </w:p>
        </w:tc>
        <w:tc>
          <w:tcPr>
            <w:tcW w:w="1940" w:type="dxa"/>
          </w:tcPr>
          <w:p w14:paraId="15DA220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c>
          <w:tcPr>
            <w:tcW w:w="3163" w:type="dxa"/>
          </w:tcPr>
          <w:p w14:paraId="222206C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c>
          <w:tcPr>
            <w:tcW w:w="3114" w:type="dxa"/>
          </w:tcPr>
          <w:p w14:paraId="004E734E">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r>
      <w:tr w14:paraId="3CCB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51" w:type="dxa"/>
            <w:vAlign w:val="center"/>
          </w:tcPr>
          <w:p w14:paraId="077719D3">
            <w:pPr>
              <w:pStyle w:val="4"/>
              <w:keepNext w:val="0"/>
              <w:keepLines w:val="0"/>
              <w:suppressLineNumbers w:val="0"/>
              <w:adjustRightInd w:val="0"/>
              <w:snapToGrid w:val="0"/>
              <w:spacing w:before="0" w:beforeAutospacing="0" w:after="50" w:afterAutospacing="0" w:line="320" w:lineRule="exact"/>
              <w:ind w:left="0" w:right="0" w:firstLine="0" w:firstLineChars="0"/>
              <w:jc w:val="center"/>
              <w:outlineLvl w:val="1"/>
              <w:rPr>
                <w:rFonts w:hint="default" w:ascii="Times New Roman" w:eastAsia="宋体"/>
                <w:color w:val="auto"/>
                <w:sz w:val="21"/>
                <w:szCs w:val="28"/>
                <w:lang w:val="en-US" w:eastAsia="zh-CN"/>
              </w:rPr>
            </w:pPr>
            <w:r>
              <w:rPr>
                <w:rFonts w:hint="eastAsia" w:ascii="Times New Roman"/>
                <w:color w:val="auto"/>
                <w:sz w:val="21"/>
                <w:szCs w:val="28"/>
                <w:lang w:val="en-US" w:eastAsia="zh-CN"/>
              </w:rPr>
              <w:t>11</w:t>
            </w:r>
          </w:p>
        </w:tc>
        <w:tc>
          <w:tcPr>
            <w:tcW w:w="1940" w:type="dxa"/>
          </w:tcPr>
          <w:p w14:paraId="6A685DE2">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c>
          <w:tcPr>
            <w:tcW w:w="3163" w:type="dxa"/>
          </w:tcPr>
          <w:p w14:paraId="6503AC9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c>
          <w:tcPr>
            <w:tcW w:w="3114" w:type="dxa"/>
          </w:tcPr>
          <w:p w14:paraId="3CDAD709">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楷体" w:cs="Times New Roman"/>
                <w:sz w:val="24"/>
                <w:szCs w:val="20"/>
              </w:rPr>
            </w:pPr>
          </w:p>
        </w:tc>
      </w:tr>
    </w:tbl>
    <w:p w14:paraId="20114387">
      <w:pPr>
        <w:pStyle w:val="4"/>
        <w:spacing w:line="240" w:lineRule="auto"/>
        <w:ind w:firstLine="0" w:firstLineChars="0"/>
        <w:jc w:val="left"/>
        <w:outlineLvl w:val="1"/>
        <w:rPr>
          <w:rFonts w:hint="eastAsia" w:ascii="楷体" w:hAnsi="楷体" w:eastAsia="楷体" w:cs="楷体"/>
          <w:b/>
          <w:color w:val="0D0D0D"/>
          <w:sz w:val="28"/>
        </w:rPr>
      </w:pPr>
    </w:p>
    <w:p w14:paraId="38CFE99E"/>
    <w:p w14:paraId="4BA6F154"/>
    <w:p w14:paraId="2A06CDF7"/>
    <w:p w14:paraId="4C4C6D0B"/>
    <w:p w14:paraId="0C1A6210"/>
    <w:p w14:paraId="340A55EB"/>
    <w:p w14:paraId="50CCF032">
      <w:pPr>
        <w:spacing w:line="360" w:lineRule="auto"/>
        <w:rPr>
          <w:sz w:val="32"/>
          <w:szCs w:val="24"/>
        </w:rPr>
      </w:pP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4044">
    <w:pPr>
      <w:pStyle w:val="5"/>
      <w:jc w:val="center"/>
    </w:pPr>
    <w:r>
      <w:fldChar w:fldCharType="begin"/>
    </w:r>
    <w:r>
      <w:instrText xml:space="preserve"> PAGE   \* MERGEFORMAT </w:instrText>
    </w:r>
    <w:r>
      <w:fldChar w:fldCharType="separate"/>
    </w:r>
    <w:r>
      <w:rPr>
        <w:lang w:val="zh-CN"/>
      </w:rPr>
      <w:t>1</w:t>
    </w:r>
    <w:r>
      <w:fldChar w:fldCharType="end"/>
    </w:r>
  </w:p>
  <w:p w14:paraId="5FC8352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yOTI0N2I2YmU3MDkwMmE1MWFkMmZhOWRmODdiYTEifQ=="/>
  </w:docVars>
  <w:rsids>
    <w:rsidRoot w:val="00786627"/>
    <w:rsid w:val="00014711"/>
    <w:rsid w:val="00014E72"/>
    <w:rsid w:val="00034217"/>
    <w:rsid w:val="00041309"/>
    <w:rsid w:val="00044E30"/>
    <w:rsid w:val="00047A3C"/>
    <w:rsid w:val="0005519B"/>
    <w:rsid w:val="000979BD"/>
    <w:rsid w:val="000C0891"/>
    <w:rsid w:val="0012138B"/>
    <w:rsid w:val="00126D3A"/>
    <w:rsid w:val="00136BD5"/>
    <w:rsid w:val="00187430"/>
    <w:rsid w:val="001A6DD4"/>
    <w:rsid w:val="001B309E"/>
    <w:rsid w:val="001D786B"/>
    <w:rsid w:val="001E4148"/>
    <w:rsid w:val="00215787"/>
    <w:rsid w:val="00230183"/>
    <w:rsid w:val="0024701B"/>
    <w:rsid w:val="002D4994"/>
    <w:rsid w:val="003013EA"/>
    <w:rsid w:val="003514FE"/>
    <w:rsid w:val="00366F13"/>
    <w:rsid w:val="00371075"/>
    <w:rsid w:val="00386B03"/>
    <w:rsid w:val="003D3B96"/>
    <w:rsid w:val="003D5286"/>
    <w:rsid w:val="00410CF3"/>
    <w:rsid w:val="00414162"/>
    <w:rsid w:val="00416318"/>
    <w:rsid w:val="00432E62"/>
    <w:rsid w:val="00452568"/>
    <w:rsid w:val="00473FAD"/>
    <w:rsid w:val="005166F1"/>
    <w:rsid w:val="0054004A"/>
    <w:rsid w:val="00595BFE"/>
    <w:rsid w:val="006057EC"/>
    <w:rsid w:val="00693ABA"/>
    <w:rsid w:val="006D3D12"/>
    <w:rsid w:val="007022CE"/>
    <w:rsid w:val="00702B90"/>
    <w:rsid w:val="00713A6C"/>
    <w:rsid w:val="00716157"/>
    <w:rsid w:val="00770A38"/>
    <w:rsid w:val="0077248F"/>
    <w:rsid w:val="007847A0"/>
    <w:rsid w:val="00786627"/>
    <w:rsid w:val="00790511"/>
    <w:rsid w:val="00796827"/>
    <w:rsid w:val="007A4A24"/>
    <w:rsid w:val="007A740D"/>
    <w:rsid w:val="008105B1"/>
    <w:rsid w:val="00813EFD"/>
    <w:rsid w:val="00816B1C"/>
    <w:rsid w:val="008421DA"/>
    <w:rsid w:val="0085306C"/>
    <w:rsid w:val="00895A98"/>
    <w:rsid w:val="008C1640"/>
    <w:rsid w:val="008D113D"/>
    <w:rsid w:val="00900319"/>
    <w:rsid w:val="00901C9C"/>
    <w:rsid w:val="0091743D"/>
    <w:rsid w:val="00943ED1"/>
    <w:rsid w:val="00983F9C"/>
    <w:rsid w:val="00993069"/>
    <w:rsid w:val="009A437A"/>
    <w:rsid w:val="009C25A9"/>
    <w:rsid w:val="009F5D81"/>
    <w:rsid w:val="00A02460"/>
    <w:rsid w:val="00A03982"/>
    <w:rsid w:val="00A2606A"/>
    <w:rsid w:val="00A44ECC"/>
    <w:rsid w:val="00A677D9"/>
    <w:rsid w:val="00A97B1F"/>
    <w:rsid w:val="00B34693"/>
    <w:rsid w:val="00B36A2D"/>
    <w:rsid w:val="00B74E88"/>
    <w:rsid w:val="00C363D5"/>
    <w:rsid w:val="00C3676B"/>
    <w:rsid w:val="00CF030A"/>
    <w:rsid w:val="00D10914"/>
    <w:rsid w:val="00D53F43"/>
    <w:rsid w:val="00DA1C33"/>
    <w:rsid w:val="00DE3221"/>
    <w:rsid w:val="00E132D2"/>
    <w:rsid w:val="00E15E5D"/>
    <w:rsid w:val="00E3540D"/>
    <w:rsid w:val="00E443D4"/>
    <w:rsid w:val="00E4702D"/>
    <w:rsid w:val="00E57C13"/>
    <w:rsid w:val="00E918DF"/>
    <w:rsid w:val="00E956A1"/>
    <w:rsid w:val="100952AE"/>
    <w:rsid w:val="16A95F2B"/>
    <w:rsid w:val="170446FF"/>
    <w:rsid w:val="1AA3373F"/>
    <w:rsid w:val="26B951AB"/>
    <w:rsid w:val="2A0B2FB5"/>
    <w:rsid w:val="36A62B1D"/>
    <w:rsid w:val="398E68F9"/>
    <w:rsid w:val="3D6377AC"/>
    <w:rsid w:val="537B16EB"/>
    <w:rsid w:val="6A12044F"/>
    <w:rsid w:val="7BEC5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semiHidden/>
    <w:qFormat/>
    <w:uiPriority w:val="0"/>
    <w:pPr>
      <w:spacing w:after="120"/>
    </w:pPr>
    <w:rPr>
      <w:rFonts w:ascii="Times New Roman" w:hAnsi="Times New Roman"/>
      <w:szCs w:val="20"/>
    </w:rPr>
  </w:style>
  <w:style w:type="paragraph" w:styleId="3">
    <w:name w:val="Normal Indent"/>
    <w:basedOn w:val="1"/>
    <w:unhideWhenUsed/>
    <w:qFormat/>
    <w:uiPriority w:val="99"/>
    <w:pPr>
      <w:ind w:firstLine="420"/>
    </w:pPr>
  </w:style>
  <w:style w:type="paragraph" w:styleId="4">
    <w:name w:val="Plain Text"/>
    <w:basedOn w:val="1"/>
    <w:link w:val="9"/>
    <w:autoRedefine/>
    <w:qFormat/>
    <w:uiPriority w:val="0"/>
    <w:pPr>
      <w:spacing w:line="360" w:lineRule="auto"/>
      <w:ind w:firstLine="480" w:firstLineChars="200"/>
    </w:pPr>
    <w:rPr>
      <w:rFonts w:ascii="仿宋_GB2312"/>
      <w:sz w:val="24"/>
    </w:rPr>
  </w:style>
  <w:style w:type="paragraph" w:styleId="5">
    <w:name w:val="footer"/>
    <w:basedOn w:val="1"/>
    <w:link w:val="10"/>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纯文本 字符"/>
    <w:link w:val="4"/>
    <w:autoRedefine/>
    <w:qFormat/>
    <w:uiPriority w:val="0"/>
    <w:rPr>
      <w:rFonts w:ascii="仿宋_GB2312"/>
      <w:kern w:val="2"/>
      <w:sz w:val="24"/>
    </w:rPr>
  </w:style>
  <w:style w:type="character" w:customStyle="1" w:styleId="10">
    <w:name w:val="页脚 字符"/>
    <w:link w:val="5"/>
    <w:autoRedefine/>
    <w:qFormat/>
    <w:uiPriority w:val="99"/>
    <w:rPr>
      <w:kern w:val="2"/>
      <w:sz w:val="18"/>
      <w:szCs w:val="18"/>
    </w:rPr>
  </w:style>
  <w:style w:type="paragraph" w:customStyle="1" w:styleId="11">
    <w:name w:val="_Style 8"/>
    <w:basedOn w:val="1"/>
    <w:next w:val="1"/>
    <w:autoRedefine/>
    <w:qFormat/>
    <w:uiPriority w:val="0"/>
    <w:pPr>
      <w:spacing w:line="360" w:lineRule="auto"/>
      <w:ind w:firstLine="480" w:firstLineChars="200"/>
    </w:pPr>
    <w:rPr>
      <w:rFonts w:ascii="仿宋_GB2312"/>
      <w:sz w:val="24"/>
    </w:rPr>
  </w:style>
  <w:style w:type="character" w:customStyle="1" w:styleId="12">
    <w:name w:val="font51"/>
    <w:basedOn w:val="8"/>
    <w:uiPriority w:val="0"/>
    <w:rPr>
      <w:rFonts w:hint="eastAsia" w:ascii="等线" w:hAnsi="等线" w:eastAsia="等线" w:cs="等线"/>
      <w:color w:val="000000"/>
      <w:sz w:val="22"/>
      <w:szCs w:val="22"/>
      <w:u w:val="none"/>
    </w:rPr>
  </w:style>
  <w:style w:type="character" w:customStyle="1" w:styleId="13">
    <w:name w:val="font61"/>
    <w:basedOn w:val="8"/>
    <w:uiPriority w:val="0"/>
    <w:rPr>
      <w:rFonts w:ascii="MS Gothic" w:hAnsi="MS Gothic" w:eastAsia="MS Gothic" w:cs="MS Gothic"/>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4</Pages>
  <Words>1048</Words>
  <Characters>1936</Characters>
  <Lines>14</Lines>
  <Paragraphs>4</Paragraphs>
  <TotalTime>11</TotalTime>
  <ScaleCrop>false</ScaleCrop>
  <LinksUpToDate>false</LinksUpToDate>
  <CharactersWithSpaces>2143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2015-12-17T03:00:00Z</dcterms:created>
  <dc:creator>MC SYSTEM</dc:creator>
  <cp:lastModifiedBy>金紫凝</cp:lastModifiedBy>
  <dcterms:modified xsi:type="dcterms:W3CDTF">2025-01-21T05:34:26Z</dcterms:modified>
  <dc:title>项目名称:</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6D2F05A9FC734184BDB2ACEABBC4D209_13</vt:lpwstr>
  </property>
  <property fmtid="{D5CDD505-2E9C-101B-9397-08002B2CF9AE}" pid="4" name="KSOTemplateDocerSaveRecord">
    <vt:lpwstr>eyJoZGlkIjoiY2ZkM2JlZWEyZjliNGVjMTYxMDNkMjdjNjFiYjJiYzciLCJ1c2VySWQiOiIzNzc0OTQ1MTYifQ==</vt:lpwstr>
  </property>
</Properties>
</file>