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819A5">
      <w:pPr>
        <w:pStyle w:val="2"/>
        <w:ind w:firstLine="0" w:firstLineChars="0"/>
        <w:jc w:val="center"/>
        <w:outlineLvl w:val="1"/>
        <w:rPr>
          <w:rFonts w:hint="eastAsia" w:ascii="SimSun" w:hAnsi="SimSun"/>
          <w:b/>
          <w:bCs/>
          <w:color w:val="FF0000"/>
          <w:sz w:val="30"/>
          <w:szCs w:val="30"/>
        </w:rPr>
      </w:pPr>
      <w:r>
        <w:rPr>
          <w:rFonts w:hint="eastAsia" w:ascii="SimSun" w:hAnsi="SimSun"/>
          <w:b/>
          <w:bCs/>
          <w:color w:val="FF0000"/>
          <w:sz w:val="30"/>
          <w:szCs w:val="30"/>
          <w:lang w:val="en-US" w:eastAsia="zh-CN"/>
        </w:rPr>
        <w:t>中国医科大学</w:t>
      </w:r>
      <w:r>
        <w:rPr>
          <w:rFonts w:hint="eastAsia" w:ascii="SimSun" w:hAnsi="SimSun"/>
          <w:b/>
          <w:bCs/>
          <w:color w:val="FF0000"/>
          <w:sz w:val="30"/>
          <w:szCs w:val="30"/>
        </w:rPr>
        <w:t>提名202</w:t>
      </w:r>
      <w:r>
        <w:rPr>
          <w:rFonts w:ascii="SimSun" w:hAnsi="SimSun"/>
          <w:b/>
          <w:bCs/>
          <w:color w:val="FF0000"/>
          <w:sz w:val="30"/>
          <w:szCs w:val="30"/>
        </w:rPr>
        <w:t>5</w:t>
      </w:r>
      <w:r>
        <w:rPr>
          <w:rFonts w:hint="eastAsia" w:ascii="SimSun" w:hAnsi="SimSun"/>
          <w:b/>
          <w:bCs/>
          <w:color w:val="FF0000"/>
          <w:sz w:val="30"/>
          <w:szCs w:val="30"/>
        </w:rPr>
        <w:t>年辽宁省科技进步奖项目公示</w:t>
      </w:r>
      <w:r>
        <w:rPr>
          <w:rFonts w:hint="eastAsia" w:ascii="SimSun" w:hAnsi="SimSun"/>
          <w:b/>
          <w:bCs/>
          <w:color w:val="FF0000"/>
          <w:sz w:val="30"/>
          <w:szCs w:val="30"/>
          <w:lang w:eastAsia="zh-CN"/>
        </w:rPr>
        <w:t>信息</w:t>
      </w:r>
    </w:p>
    <w:p w14:paraId="5326978E">
      <w:pPr>
        <w:pStyle w:val="2"/>
        <w:spacing w:line="240" w:lineRule="auto"/>
        <w:ind w:firstLine="0" w:firstLineChars="0"/>
        <w:jc w:val="left"/>
        <w:outlineLvl w:val="1"/>
        <w:rPr>
          <w:rFonts w:hint="eastAsia" w:ascii="Times New Roman" w:hAnsi="SimSun"/>
          <w:b/>
          <w:bCs/>
          <w:color w:val="auto"/>
          <w:sz w:val="24"/>
          <w:szCs w:val="24"/>
        </w:rPr>
      </w:pPr>
      <w:r>
        <w:rPr>
          <w:rFonts w:hint="eastAsia" w:ascii="SimSun" w:hAnsi="SimSun"/>
          <w:b/>
          <w:color w:val="0D0D0D"/>
          <w:sz w:val="28"/>
        </w:rPr>
        <w:t>项目名称：</w:t>
      </w:r>
      <w:r>
        <w:rPr>
          <w:rFonts w:hint="eastAsia" w:ascii="Times New Roman"/>
          <w:b/>
          <w:bCs/>
          <w:color w:val="auto"/>
          <w:sz w:val="24"/>
          <w:szCs w:val="24"/>
        </w:rPr>
        <w:t>基因多态性降低老年患者全身麻醉术后认知功能障碍发生的作用</w:t>
      </w:r>
    </w:p>
    <w:p w14:paraId="0734245A">
      <w:pPr>
        <w:pStyle w:val="2"/>
        <w:spacing w:line="390" w:lineRule="exact"/>
        <w:ind w:firstLine="0" w:firstLineChars="0"/>
        <w:jc w:val="center"/>
        <w:outlineLvl w:val="1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主要知识产权和标准规范等目录（不超过10件）</w:t>
      </w:r>
    </w:p>
    <w:tbl>
      <w:tblPr>
        <w:tblStyle w:val="3"/>
        <w:tblW w:w="885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076"/>
        <w:gridCol w:w="866"/>
        <w:gridCol w:w="1253"/>
        <w:gridCol w:w="889"/>
        <w:gridCol w:w="1112"/>
        <w:gridCol w:w="856"/>
        <w:gridCol w:w="1127"/>
        <w:gridCol w:w="687"/>
      </w:tblGrid>
      <w:tr w14:paraId="10648B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984" w:type="dxa"/>
            <w:noWrap w:val="0"/>
            <w:vAlign w:val="center"/>
          </w:tcPr>
          <w:p w14:paraId="4FA1E6E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eastAsia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知识产权(标准)</w:t>
            </w:r>
          </w:p>
          <w:p w14:paraId="6F42E89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类别</w:t>
            </w:r>
          </w:p>
        </w:tc>
        <w:tc>
          <w:tcPr>
            <w:tcW w:w="1076" w:type="dxa"/>
            <w:noWrap w:val="0"/>
            <w:vAlign w:val="center"/>
          </w:tcPr>
          <w:p w14:paraId="5FAAC34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eastAsia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知识产权(标准)</w:t>
            </w:r>
          </w:p>
          <w:p w14:paraId="21558164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具体名称</w:t>
            </w:r>
          </w:p>
        </w:tc>
        <w:tc>
          <w:tcPr>
            <w:tcW w:w="866" w:type="dxa"/>
            <w:noWrap w:val="0"/>
            <w:vAlign w:val="center"/>
          </w:tcPr>
          <w:p w14:paraId="34C9122C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国家</w:t>
            </w:r>
          </w:p>
          <w:p w14:paraId="76040B8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(地区)</w:t>
            </w:r>
          </w:p>
        </w:tc>
        <w:tc>
          <w:tcPr>
            <w:tcW w:w="1253" w:type="dxa"/>
            <w:noWrap w:val="0"/>
            <w:vAlign w:val="center"/>
          </w:tcPr>
          <w:p w14:paraId="1358C946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eastAsia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授权号</w:t>
            </w:r>
          </w:p>
          <w:p w14:paraId="6E399F91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(标准编号)</w:t>
            </w:r>
          </w:p>
        </w:tc>
        <w:tc>
          <w:tcPr>
            <w:tcW w:w="889" w:type="dxa"/>
            <w:noWrap w:val="0"/>
            <w:vAlign w:val="center"/>
          </w:tcPr>
          <w:p w14:paraId="2528D97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授权(标准发布)日期</w:t>
            </w:r>
          </w:p>
        </w:tc>
        <w:tc>
          <w:tcPr>
            <w:tcW w:w="1112" w:type="dxa"/>
            <w:noWrap w:val="0"/>
            <w:vAlign w:val="center"/>
          </w:tcPr>
          <w:p w14:paraId="63AD1561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证书编号</w:t>
            </w:r>
            <w:r>
              <w:rPr>
                <w:rFonts w:hint="default" w:ascii="Times New Roman"/>
                <w:color w:val="auto"/>
                <w:sz w:val="21"/>
              </w:rPr>
              <w:br w:type="textWrapping"/>
            </w:r>
            <w:r>
              <w:rPr>
                <w:rFonts w:hint="eastAsia" w:ascii="Times New Roman"/>
                <w:color w:val="auto"/>
                <w:sz w:val="21"/>
              </w:rPr>
              <w:t>(标准批准发布部门)</w:t>
            </w:r>
          </w:p>
        </w:tc>
        <w:tc>
          <w:tcPr>
            <w:tcW w:w="856" w:type="dxa"/>
            <w:noWrap w:val="0"/>
            <w:vAlign w:val="center"/>
          </w:tcPr>
          <w:p w14:paraId="56BEAC5C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权利人(标准起草单位)</w:t>
            </w:r>
          </w:p>
        </w:tc>
        <w:tc>
          <w:tcPr>
            <w:tcW w:w="1127" w:type="dxa"/>
            <w:noWrap w:val="0"/>
            <w:vAlign w:val="center"/>
          </w:tcPr>
          <w:p w14:paraId="240E8AF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发明人(标准起草人)</w:t>
            </w:r>
          </w:p>
        </w:tc>
        <w:tc>
          <w:tcPr>
            <w:tcW w:w="687" w:type="dxa"/>
            <w:noWrap w:val="0"/>
            <w:vAlign w:val="center"/>
          </w:tcPr>
          <w:p w14:paraId="58C9799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/>
                <w:color w:val="auto"/>
                <w:sz w:val="21"/>
              </w:rPr>
            </w:pPr>
            <w:r>
              <w:rPr>
                <w:rFonts w:hint="eastAsia" w:ascii="Times New Roman"/>
                <w:color w:val="auto"/>
                <w:sz w:val="21"/>
              </w:rPr>
              <w:t>发明专利(标准)有效状态</w:t>
            </w:r>
          </w:p>
        </w:tc>
      </w:tr>
      <w:tr w14:paraId="657F1A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noWrap w:val="0"/>
            <w:vAlign w:val="top"/>
          </w:tcPr>
          <w:p w14:paraId="79E53F5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eastAsia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专利</w:t>
            </w:r>
          </w:p>
        </w:tc>
        <w:tc>
          <w:tcPr>
            <w:tcW w:w="1076" w:type="dxa"/>
            <w:noWrap w:val="0"/>
            <w:vAlign w:val="top"/>
          </w:tcPr>
          <w:p w14:paraId="4FD867F4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一种具有精准定位且自动杀菌的超声波探头</w:t>
            </w:r>
          </w:p>
        </w:tc>
        <w:tc>
          <w:tcPr>
            <w:tcW w:w="866" w:type="dxa"/>
            <w:noWrap w:val="0"/>
            <w:vAlign w:val="top"/>
          </w:tcPr>
          <w:p w14:paraId="65FF2C9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eastAsia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5579C989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ZL201620407902.1</w:t>
            </w:r>
          </w:p>
        </w:tc>
        <w:tc>
          <w:tcPr>
            <w:tcW w:w="889" w:type="dxa"/>
            <w:noWrap w:val="0"/>
            <w:vAlign w:val="top"/>
          </w:tcPr>
          <w:p w14:paraId="10E6AF02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2017年7月18日</w:t>
            </w:r>
          </w:p>
        </w:tc>
        <w:tc>
          <w:tcPr>
            <w:tcW w:w="1112" w:type="dxa"/>
            <w:noWrap w:val="0"/>
            <w:vAlign w:val="top"/>
          </w:tcPr>
          <w:p w14:paraId="700EA18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210" w:firstLineChars="10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6310290</w:t>
            </w:r>
          </w:p>
        </w:tc>
        <w:tc>
          <w:tcPr>
            <w:tcW w:w="856" w:type="dxa"/>
            <w:noWrap w:val="0"/>
            <w:vAlign w:val="top"/>
          </w:tcPr>
          <w:p w14:paraId="79840637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中国医科大学附属第一医院</w:t>
            </w:r>
          </w:p>
        </w:tc>
        <w:tc>
          <w:tcPr>
            <w:tcW w:w="1127" w:type="dxa"/>
            <w:noWrap w:val="0"/>
            <w:vAlign w:val="top"/>
          </w:tcPr>
          <w:p w14:paraId="799E8E91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田阿勇，汪祉霖</w:t>
            </w:r>
          </w:p>
        </w:tc>
        <w:tc>
          <w:tcPr>
            <w:tcW w:w="687" w:type="dxa"/>
            <w:noWrap w:val="0"/>
            <w:vAlign w:val="top"/>
          </w:tcPr>
          <w:p w14:paraId="0154B48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eastAsia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有效</w:t>
            </w:r>
          </w:p>
        </w:tc>
      </w:tr>
      <w:tr w14:paraId="3CC8C4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noWrap w:val="0"/>
            <w:vAlign w:val="top"/>
          </w:tcPr>
          <w:p w14:paraId="6BB7C53E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SCI收录论文</w:t>
            </w:r>
          </w:p>
        </w:tc>
        <w:tc>
          <w:tcPr>
            <w:tcW w:w="1076" w:type="dxa"/>
            <w:noWrap w:val="0"/>
            <w:vAlign w:val="top"/>
          </w:tcPr>
          <w:p w14:paraId="17F5E9C4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Interleukin17A Promotes Postoperative Cognitive Dysfunction by Triggering β-Amyloid Accumulation via the Transforming Growth Factor-β(TGFβ)/Smad Signaling Pathway.</w:t>
            </w:r>
          </w:p>
        </w:tc>
        <w:tc>
          <w:tcPr>
            <w:tcW w:w="866" w:type="dxa"/>
            <w:noWrap w:val="0"/>
            <w:vAlign w:val="top"/>
          </w:tcPr>
          <w:p w14:paraId="25A02D59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eastAsia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6C9653C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PL</w:t>
            </w: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Times New Roman"/>
                <w:color w:val="auto"/>
                <w:sz w:val="21"/>
                <w:szCs w:val="21"/>
              </w:rPr>
              <w:t>S</w:t>
            </w: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/>
                <w:color w:val="auto"/>
                <w:sz w:val="21"/>
                <w:szCs w:val="21"/>
              </w:rPr>
              <w:t>One.</w:t>
            </w:r>
          </w:p>
        </w:tc>
        <w:tc>
          <w:tcPr>
            <w:tcW w:w="889" w:type="dxa"/>
            <w:noWrap w:val="0"/>
            <w:vAlign w:val="top"/>
          </w:tcPr>
          <w:p w14:paraId="3CB58EA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lang w:val="en-US" w:eastAsia="zh-CN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2015</w:t>
            </w: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年10月</w:t>
            </w:r>
          </w:p>
        </w:tc>
        <w:tc>
          <w:tcPr>
            <w:tcW w:w="1112" w:type="dxa"/>
            <w:noWrap w:val="0"/>
            <w:vAlign w:val="top"/>
          </w:tcPr>
          <w:p w14:paraId="4FEE8268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2015 Oct 28;10(10):e0141596.</w:t>
            </w:r>
          </w:p>
        </w:tc>
        <w:tc>
          <w:tcPr>
            <w:tcW w:w="856" w:type="dxa"/>
            <w:shd w:val="clear" w:color="auto" w:fill="auto"/>
            <w:noWrap w:val="0"/>
            <w:vAlign w:val="top"/>
          </w:tcPr>
          <w:p w14:paraId="30C5C07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中国医科大学附属第一医院</w:t>
            </w:r>
          </w:p>
        </w:tc>
        <w:tc>
          <w:tcPr>
            <w:tcW w:w="1127" w:type="dxa"/>
            <w:shd w:val="clear" w:color="auto" w:fill="auto"/>
            <w:noWrap w:val="0"/>
            <w:vAlign w:val="top"/>
          </w:tcPr>
          <w:p w14:paraId="698F2338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Ayong Tian，</w:t>
            </w:r>
          </w:p>
          <w:p w14:paraId="5918456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Hong Ma，</w:t>
            </w:r>
          </w:p>
          <w:p w14:paraId="113EDA2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Rong wei</w:t>
            </w:r>
          </w:p>
          <w:p w14:paraId="3875EB0F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Zhang，</w:t>
            </w:r>
          </w:p>
          <w:p w14:paraId="0906A992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Wenfei</w:t>
            </w:r>
          </w:p>
          <w:p w14:paraId="12CA91C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Tan，</w:t>
            </w:r>
          </w:p>
          <w:p w14:paraId="32CAF6F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Xiaolong</w:t>
            </w:r>
          </w:p>
          <w:p w14:paraId="4B7A2DB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Wang</w:t>
            </w:r>
          </w:p>
        </w:tc>
        <w:tc>
          <w:tcPr>
            <w:tcW w:w="687" w:type="dxa"/>
            <w:noWrap w:val="0"/>
            <w:vAlign w:val="top"/>
          </w:tcPr>
          <w:p w14:paraId="34B96D74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</w:p>
        </w:tc>
      </w:tr>
      <w:tr w14:paraId="3060F0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984" w:type="dxa"/>
            <w:noWrap w:val="0"/>
            <w:vAlign w:val="top"/>
          </w:tcPr>
          <w:p w14:paraId="4360C304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SCI收录论文</w:t>
            </w:r>
          </w:p>
        </w:tc>
        <w:tc>
          <w:tcPr>
            <w:tcW w:w="1076" w:type="dxa"/>
            <w:noWrap w:val="0"/>
            <w:vAlign w:val="top"/>
          </w:tcPr>
          <w:p w14:paraId="44FED5F1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Vit</w:t>
            </w:r>
            <w:r>
              <w:rPr>
                <w:rFonts w:hint="eastAsia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aminD improves cognitive function and modulates Th17/T reg cell balance after hepatectomy in mice.</w:t>
            </w:r>
          </w:p>
        </w:tc>
        <w:tc>
          <w:tcPr>
            <w:tcW w:w="866" w:type="dxa"/>
            <w:noWrap w:val="0"/>
            <w:vAlign w:val="top"/>
          </w:tcPr>
          <w:p w14:paraId="3CEB85F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0C95954F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eastAsia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Inflammation</w:t>
            </w:r>
          </w:p>
        </w:tc>
        <w:tc>
          <w:tcPr>
            <w:tcW w:w="889" w:type="dxa"/>
            <w:noWrap w:val="0"/>
            <w:vAlign w:val="top"/>
          </w:tcPr>
          <w:p w14:paraId="472263C8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eastAsia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2015</w:t>
            </w:r>
            <w:r>
              <w:rPr>
                <w:rFonts w:hint="eastAsia" w:asci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年4月</w:t>
            </w:r>
          </w:p>
        </w:tc>
        <w:tc>
          <w:tcPr>
            <w:tcW w:w="1112" w:type="dxa"/>
            <w:noWrap w:val="0"/>
            <w:vAlign w:val="top"/>
          </w:tcPr>
          <w:p w14:paraId="4F4ECE9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eastAsia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2015 Apr;38(2):500-9. </w:t>
            </w:r>
          </w:p>
        </w:tc>
        <w:tc>
          <w:tcPr>
            <w:tcW w:w="856" w:type="dxa"/>
            <w:shd w:val="clear" w:color="auto" w:fill="auto"/>
            <w:noWrap w:val="0"/>
            <w:vAlign w:val="top"/>
          </w:tcPr>
          <w:p w14:paraId="7A9F1BA8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中国医科大学附属第一医院</w:t>
            </w:r>
          </w:p>
        </w:tc>
        <w:tc>
          <w:tcPr>
            <w:tcW w:w="1127" w:type="dxa"/>
            <w:shd w:val="clear" w:color="auto" w:fill="auto"/>
            <w:noWrap w:val="0"/>
            <w:vAlign w:val="top"/>
          </w:tcPr>
          <w:p w14:paraId="44B4077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Ayong Tian，Hong Ma ，Xuezhao Cao，Rongwei Zhang，Xiaolong Wang，Binyang Wu</w:t>
            </w:r>
          </w:p>
        </w:tc>
        <w:tc>
          <w:tcPr>
            <w:tcW w:w="687" w:type="dxa"/>
            <w:noWrap w:val="0"/>
            <w:vAlign w:val="top"/>
          </w:tcPr>
          <w:p w14:paraId="17A68E09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</w:p>
        </w:tc>
      </w:tr>
      <w:tr w14:paraId="1D3862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noWrap w:val="0"/>
            <w:vAlign w:val="top"/>
          </w:tcPr>
          <w:p w14:paraId="655A311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SCI收录论文</w:t>
            </w:r>
          </w:p>
        </w:tc>
        <w:tc>
          <w:tcPr>
            <w:tcW w:w="1076" w:type="dxa"/>
            <w:noWrap w:val="0"/>
            <w:vAlign w:val="top"/>
          </w:tcPr>
          <w:p w14:paraId="2040B9D1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3-N-Butyphthalide improves learning and memory in rats with vascular cognitive impairment by activating the SIRT1/BDNF pathway. </w:t>
            </w:r>
          </w:p>
        </w:tc>
        <w:tc>
          <w:tcPr>
            <w:tcW w:w="866" w:type="dxa"/>
            <w:noWrap w:val="0"/>
            <w:vAlign w:val="top"/>
          </w:tcPr>
          <w:p w14:paraId="2D00A44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575D6904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Mol Med Rep. </w:t>
            </w:r>
          </w:p>
        </w:tc>
        <w:tc>
          <w:tcPr>
            <w:tcW w:w="889" w:type="dxa"/>
            <w:noWrap w:val="0"/>
            <w:vAlign w:val="top"/>
          </w:tcPr>
          <w:p w14:paraId="73C956D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2020</w:t>
            </w: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年7月</w:t>
            </w:r>
          </w:p>
        </w:tc>
        <w:tc>
          <w:tcPr>
            <w:tcW w:w="1112" w:type="dxa"/>
            <w:noWrap w:val="0"/>
            <w:vAlign w:val="top"/>
          </w:tcPr>
          <w:p w14:paraId="4A343B2C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2020 Jul;22(1):525-533.</w:t>
            </w:r>
          </w:p>
        </w:tc>
        <w:tc>
          <w:tcPr>
            <w:tcW w:w="856" w:type="dxa"/>
            <w:shd w:val="clear" w:color="auto" w:fill="auto"/>
            <w:noWrap w:val="0"/>
            <w:vAlign w:val="top"/>
          </w:tcPr>
          <w:p w14:paraId="2D0BF8CF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中国医科大学附属第一医院</w:t>
            </w:r>
          </w:p>
        </w:tc>
        <w:tc>
          <w:tcPr>
            <w:tcW w:w="1127" w:type="dxa"/>
            <w:shd w:val="clear" w:color="auto" w:fill="auto"/>
            <w:noWrap w:val="0"/>
            <w:vAlign w:val="top"/>
          </w:tcPr>
          <w:p w14:paraId="389C0558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Ayong</w:t>
            </w:r>
            <w:r>
              <w:rPr>
                <w:rFonts w:hint="eastAsia" w:asci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Tian</w:t>
            </w:r>
            <w:r>
              <w:rPr>
                <w:rFonts w:hint="eastAsia" w:asci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，Wan Li,</w:t>
            </w:r>
            <w:r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Qing Zai</w:t>
            </w:r>
            <w:r>
              <w:rPr>
                <w:rFonts w:hint="eastAsia" w:asci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Hui Li</w:t>
            </w:r>
            <w:r>
              <w:rPr>
                <w:rFonts w:hint="eastAsia" w:asci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Rong‑Wei Zhang</w:t>
            </w:r>
          </w:p>
        </w:tc>
        <w:tc>
          <w:tcPr>
            <w:tcW w:w="687" w:type="dxa"/>
            <w:noWrap w:val="0"/>
            <w:vAlign w:val="top"/>
          </w:tcPr>
          <w:p w14:paraId="212B9290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</w:p>
        </w:tc>
      </w:tr>
      <w:tr w14:paraId="296D3F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984" w:type="dxa"/>
            <w:noWrap w:val="0"/>
            <w:vAlign w:val="top"/>
          </w:tcPr>
          <w:p w14:paraId="0B394EDC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SCI收录论文</w:t>
            </w:r>
          </w:p>
        </w:tc>
        <w:tc>
          <w:tcPr>
            <w:tcW w:w="1076" w:type="dxa"/>
            <w:noWrap w:val="0"/>
            <w:vAlign w:val="top"/>
          </w:tcPr>
          <w:p w14:paraId="3FFAF3EE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Edaravone improves spatial memory and modulates endoplasmic reticulum stress-mediated apoptosis after abdominal surgery in mice.</w:t>
            </w:r>
          </w:p>
        </w:tc>
        <w:tc>
          <w:tcPr>
            <w:tcW w:w="866" w:type="dxa"/>
            <w:noWrap w:val="0"/>
            <w:vAlign w:val="top"/>
          </w:tcPr>
          <w:p w14:paraId="2626EC74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4880F350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Exp Ther Med. </w:t>
            </w:r>
          </w:p>
        </w:tc>
        <w:tc>
          <w:tcPr>
            <w:tcW w:w="889" w:type="dxa"/>
            <w:noWrap w:val="0"/>
            <w:vAlign w:val="top"/>
          </w:tcPr>
          <w:p w14:paraId="4BE5BF5C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2017</w:t>
            </w: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年7月</w:t>
            </w: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1112" w:type="dxa"/>
            <w:noWrap w:val="0"/>
            <w:vAlign w:val="top"/>
          </w:tcPr>
          <w:p w14:paraId="4AA2089E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 2017 Jul;14(1):355-360. </w:t>
            </w:r>
          </w:p>
        </w:tc>
        <w:tc>
          <w:tcPr>
            <w:tcW w:w="856" w:type="dxa"/>
            <w:shd w:val="clear" w:color="auto" w:fill="auto"/>
            <w:noWrap w:val="0"/>
            <w:vAlign w:val="top"/>
          </w:tcPr>
          <w:p w14:paraId="4A7344D9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中国医科大学附属第一医院</w:t>
            </w:r>
          </w:p>
        </w:tc>
        <w:tc>
          <w:tcPr>
            <w:tcW w:w="1127" w:type="dxa"/>
            <w:shd w:val="clear" w:color="auto" w:fill="auto"/>
            <w:noWrap w:val="0"/>
            <w:vAlign w:val="top"/>
          </w:tcPr>
          <w:p w14:paraId="3A34E200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Ayong Tian， Hong Ma，Rongwei Zhang，Yong Cui，Chengfu Wan</w:t>
            </w:r>
          </w:p>
        </w:tc>
        <w:tc>
          <w:tcPr>
            <w:tcW w:w="687" w:type="dxa"/>
            <w:noWrap w:val="0"/>
            <w:vAlign w:val="top"/>
          </w:tcPr>
          <w:p w14:paraId="0CA7718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</w:p>
        </w:tc>
      </w:tr>
      <w:tr w14:paraId="397603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noWrap w:val="0"/>
            <w:vAlign w:val="top"/>
          </w:tcPr>
          <w:p w14:paraId="49A93C02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SCI收录论文</w:t>
            </w:r>
          </w:p>
        </w:tc>
        <w:tc>
          <w:tcPr>
            <w:tcW w:w="1076" w:type="dxa"/>
            <w:noWrap w:val="0"/>
            <w:vAlign w:val="top"/>
          </w:tcPr>
          <w:p w14:paraId="4E7F9E0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00" w:lineRule="atLeast"/>
              <w:ind w:left="0" w:right="0" w:firstLine="0" w:firstLineChars="0"/>
              <w:jc w:val="left"/>
              <w:textAlignment w:val="auto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Dl-3n-butylphthalide Improves Spatial Learning and Memory in Rats With Vascular Dementia by Reducing Autophagy via Regulation of the mTOR Signaling Pathway .</w:t>
            </w:r>
          </w:p>
        </w:tc>
        <w:tc>
          <w:tcPr>
            <w:tcW w:w="866" w:type="dxa"/>
            <w:noWrap w:val="0"/>
            <w:vAlign w:val="top"/>
          </w:tcPr>
          <w:p w14:paraId="3BB1702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63085E3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Exp Ther Med .</w:t>
            </w:r>
          </w:p>
        </w:tc>
        <w:tc>
          <w:tcPr>
            <w:tcW w:w="889" w:type="dxa"/>
            <w:noWrap w:val="0"/>
            <w:vAlign w:val="top"/>
          </w:tcPr>
          <w:p w14:paraId="433D15CC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2020</w:t>
            </w: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年3月</w:t>
            </w:r>
          </w:p>
        </w:tc>
        <w:tc>
          <w:tcPr>
            <w:tcW w:w="1112" w:type="dxa"/>
            <w:noWrap w:val="0"/>
            <w:vAlign w:val="top"/>
          </w:tcPr>
          <w:p w14:paraId="4AFC17DD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 2020 Mar;19(3):1940-1946</w:t>
            </w:r>
          </w:p>
        </w:tc>
        <w:tc>
          <w:tcPr>
            <w:tcW w:w="856" w:type="dxa"/>
            <w:shd w:val="clear" w:color="auto" w:fill="auto"/>
            <w:noWrap w:val="0"/>
            <w:vAlign w:val="top"/>
          </w:tcPr>
          <w:p w14:paraId="500FDF2F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中国医科大学附属第一医院</w:t>
            </w:r>
          </w:p>
        </w:tc>
        <w:tc>
          <w:tcPr>
            <w:tcW w:w="1127" w:type="dxa"/>
            <w:shd w:val="clear" w:color="auto" w:fill="auto"/>
            <w:noWrap w:val="0"/>
            <w:vAlign w:val="top"/>
          </w:tcPr>
          <w:p w14:paraId="15C447E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Ayong Tian，Xiaochuan Ma，Hui Li，Rongwei Zhang</w:t>
            </w:r>
          </w:p>
        </w:tc>
        <w:tc>
          <w:tcPr>
            <w:tcW w:w="687" w:type="dxa"/>
            <w:noWrap w:val="0"/>
            <w:vAlign w:val="top"/>
          </w:tcPr>
          <w:p w14:paraId="24F3FE29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</w:p>
        </w:tc>
      </w:tr>
      <w:tr w14:paraId="0BE2DD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noWrap w:val="0"/>
            <w:vAlign w:val="top"/>
          </w:tcPr>
          <w:p w14:paraId="55FCB43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SCI收录论文</w:t>
            </w:r>
          </w:p>
        </w:tc>
        <w:tc>
          <w:tcPr>
            <w:tcW w:w="1076" w:type="dxa"/>
            <w:noWrap w:val="0"/>
            <w:vAlign w:val="top"/>
          </w:tcPr>
          <w:p w14:paraId="2E24A684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Enhancing Medical Signal Processing and Diagnosis with AI-Generated Content Techniques.</w:t>
            </w:r>
          </w:p>
        </w:tc>
        <w:tc>
          <w:tcPr>
            <w:tcW w:w="866" w:type="dxa"/>
            <w:noWrap w:val="0"/>
            <w:vAlign w:val="top"/>
          </w:tcPr>
          <w:p w14:paraId="07E90539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437B2C96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IEEE Journal of Biomedical and Health Informatics .</w:t>
            </w:r>
          </w:p>
        </w:tc>
        <w:tc>
          <w:tcPr>
            <w:tcW w:w="889" w:type="dxa"/>
            <w:noWrap w:val="0"/>
            <w:vAlign w:val="top"/>
          </w:tcPr>
          <w:p w14:paraId="4E1ACFF6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2024年7月</w:t>
            </w:r>
          </w:p>
        </w:tc>
        <w:tc>
          <w:tcPr>
            <w:tcW w:w="1112" w:type="dxa"/>
            <w:noWrap w:val="0"/>
            <w:vAlign w:val="top"/>
          </w:tcPr>
          <w:p w14:paraId="6851EE36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2024，JUL</w:t>
            </w:r>
          </w:p>
          <w:p w14:paraId="076931D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10.1109/JBHI.2024.3429560.</w:t>
            </w:r>
          </w:p>
        </w:tc>
        <w:tc>
          <w:tcPr>
            <w:tcW w:w="856" w:type="dxa"/>
            <w:shd w:val="clear" w:color="auto" w:fill="auto"/>
            <w:noWrap w:val="0"/>
            <w:vAlign w:val="top"/>
          </w:tcPr>
          <w:p w14:paraId="1E1CA66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中国医科大学附属第四医院</w:t>
            </w:r>
          </w:p>
        </w:tc>
        <w:tc>
          <w:tcPr>
            <w:tcW w:w="1127" w:type="dxa"/>
            <w:shd w:val="clear" w:color="auto" w:fill="auto"/>
            <w:noWrap w:val="0"/>
            <w:vAlign w:val="top"/>
          </w:tcPr>
          <w:p w14:paraId="62F06252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Lihui Fang，Yangyu Li，Meiqi Shao， Aiwen Yu，Bassem F，Felemban，Ayman A. Aly</w:t>
            </w:r>
          </w:p>
        </w:tc>
        <w:tc>
          <w:tcPr>
            <w:tcW w:w="687" w:type="dxa"/>
            <w:noWrap w:val="0"/>
            <w:vAlign w:val="top"/>
          </w:tcPr>
          <w:p w14:paraId="4CFD3A7D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</w:p>
        </w:tc>
      </w:tr>
      <w:tr w14:paraId="48E19C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984" w:type="dxa"/>
            <w:noWrap w:val="0"/>
            <w:vAlign w:val="top"/>
          </w:tcPr>
          <w:p w14:paraId="62D8FF1F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SCI收录论文</w:t>
            </w:r>
          </w:p>
        </w:tc>
        <w:tc>
          <w:tcPr>
            <w:tcW w:w="1076" w:type="dxa"/>
            <w:noWrap w:val="0"/>
            <w:vAlign w:val="top"/>
          </w:tcPr>
          <w:p w14:paraId="51629D78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OTUB2/NR4A1 restrains the development of preeclampsia by suppressing macrophage M1 polarization. </w:t>
            </w:r>
          </w:p>
        </w:tc>
        <w:tc>
          <w:tcPr>
            <w:tcW w:w="866" w:type="dxa"/>
            <w:noWrap w:val="0"/>
            <w:vAlign w:val="top"/>
          </w:tcPr>
          <w:p w14:paraId="071AE669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507F7AB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Commun Biol. </w:t>
            </w:r>
          </w:p>
        </w:tc>
        <w:tc>
          <w:tcPr>
            <w:tcW w:w="889" w:type="dxa"/>
            <w:noWrap w:val="0"/>
            <w:vAlign w:val="top"/>
          </w:tcPr>
          <w:p w14:paraId="138DE1C0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2025</w:t>
            </w: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年8月</w:t>
            </w: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1112" w:type="dxa"/>
            <w:noWrap w:val="0"/>
            <w:vAlign w:val="top"/>
          </w:tcPr>
          <w:p w14:paraId="3D40DD31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2025 Aug 29;8(1):1304. doi: 10.1038/s42003-025-08755-9. PMID: </w:t>
            </w:r>
          </w:p>
        </w:tc>
        <w:tc>
          <w:tcPr>
            <w:tcW w:w="856" w:type="dxa"/>
            <w:shd w:val="clear" w:color="auto" w:fill="auto"/>
            <w:noWrap w:val="0"/>
            <w:vAlign w:val="top"/>
          </w:tcPr>
          <w:p w14:paraId="6B456CA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中国医科大学附属盛京医院</w:t>
            </w:r>
          </w:p>
        </w:tc>
        <w:tc>
          <w:tcPr>
            <w:tcW w:w="1127" w:type="dxa"/>
            <w:shd w:val="clear" w:color="auto" w:fill="auto"/>
            <w:noWrap w:val="0"/>
            <w:vAlign w:val="top"/>
          </w:tcPr>
          <w:p w14:paraId="2A8DED70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 xml:space="preserve">Wang Y, Wang Y, Tong F, Gao QQ, Li BX, Zhao Y. </w:t>
            </w:r>
          </w:p>
        </w:tc>
        <w:tc>
          <w:tcPr>
            <w:tcW w:w="687" w:type="dxa"/>
            <w:noWrap w:val="0"/>
            <w:vAlign w:val="top"/>
          </w:tcPr>
          <w:p w14:paraId="738B5DC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</w:p>
        </w:tc>
      </w:tr>
      <w:tr w14:paraId="28E5DE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noWrap w:val="0"/>
            <w:vAlign w:val="top"/>
          </w:tcPr>
          <w:p w14:paraId="756336F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SCI收录论文</w:t>
            </w:r>
          </w:p>
        </w:tc>
        <w:tc>
          <w:tcPr>
            <w:tcW w:w="1076" w:type="dxa"/>
            <w:noWrap w:val="0"/>
            <w:vAlign w:val="top"/>
          </w:tcPr>
          <w:p w14:paraId="2037636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Pseudogene ACTBP2 increases blood-brain barrier permeability by promoting KHDRBS2 transcription through recruitment of KMT2D/WDR5 in Aβ1-42 microenvironment.</w:t>
            </w:r>
          </w:p>
        </w:tc>
        <w:tc>
          <w:tcPr>
            <w:tcW w:w="866" w:type="dxa"/>
            <w:noWrap w:val="0"/>
            <w:vAlign w:val="top"/>
          </w:tcPr>
          <w:p w14:paraId="4BF68559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3D3A87F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 Cell Death Discov.</w:t>
            </w:r>
          </w:p>
        </w:tc>
        <w:tc>
          <w:tcPr>
            <w:tcW w:w="889" w:type="dxa"/>
            <w:noWrap w:val="0"/>
            <w:vAlign w:val="top"/>
          </w:tcPr>
          <w:p w14:paraId="3AE880D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2021</w:t>
            </w: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年6月</w:t>
            </w:r>
          </w:p>
        </w:tc>
        <w:tc>
          <w:tcPr>
            <w:tcW w:w="1112" w:type="dxa"/>
            <w:noWrap w:val="0"/>
            <w:vAlign w:val="top"/>
          </w:tcPr>
          <w:p w14:paraId="4251C44D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 2021 Jun 14;7(1):142. </w:t>
            </w:r>
          </w:p>
        </w:tc>
        <w:tc>
          <w:tcPr>
            <w:tcW w:w="856" w:type="dxa"/>
            <w:shd w:val="clear" w:color="auto" w:fill="auto"/>
            <w:noWrap w:val="0"/>
            <w:vAlign w:val="top"/>
          </w:tcPr>
          <w:p w14:paraId="4871F0F7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中国医科大学附属第四医院</w:t>
            </w:r>
          </w:p>
        </w:tc>
        <w:tc>
          <w:tcPr>
            <w:tcW w:w="1127" w:type="dxa"/>
            <w:shd w:val="clear" w:color="auto" w:fill="auto"/>
            <w:noWrap w:val="0"/>
            <w:vAlign w:val="top"/>
          </w:tcPr>
          <w:p w14:paraId="07AFC40D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Qianshuo Liu, Xiaobai Liu, Defeng Zhao, Xuelei Ruan, Rui Su, Xiuli Shang, Di Wang, Chunqing Yang ， Yixue Xue</w:t>
            </w:r>
          </w:p>
        </w:tc>
        <w:tc>
          <w:tcPr>
            <w:tcW w:w="687" w:type="dxa"/>
            <w:noWrap w:val="0"/>
            <w:vAlign w:val="top"/>
          </w:tcPr>
          <w:p w14:paraId="705552C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</w:p>
        </w:tc>
      </w:tr>
      <w:tr w14:paraId="2D94A1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jc w:val="center"/>
        </w:trPr>
        <w:tc>
          <w:tcPr>
            <w:tcW w:w="984" w:type="dxa"/>
            <w:noWrap w:val="0"/>
            <w:vAlign w:val="top"/>
          </w:tcPr>
          <w:p w14:paraId="51338878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 w:eastAsia="SimSu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SCI收录论文</w:t>
            </w:r>
          </w:p>
        </w:tc>
        <w:tc>
          <w:tcPr>
            <w:tcW w:w="1076" w:type="dxa"/>
            <w:noWrap w:val="0"/>
            <w:vAlign w:val="top"/>
          </w:tcPr>
          <w:p w14:paraId="7AAB965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miR-199a-5p from bone marrow mesenchymal stem cell exosomes promotes the proliferation of neural stem cells by targeting GSK-3β.</w:t>
            </w:r>
          </w:p>
        </w:tc>
        <w:tc>
          <w:tcPr>
            <w:tcW w:w="866" w:type="dxa"/>
            <w:noWrap w:val="0"/>
            <w:vAlign w:val="top"/>
          </w:tcPr>
          <w:p w14:paraId="4FE6783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</w:t>
            </w:r>
          </w:p>
        </w:tc>
        <w:tc>
          <w:tcPr>
            <w:tcW w:w="1253" w:type="dxa"/>
            <w:noWrap w:val="0"/>
            <w:vAlign w:val="top"/>
          </w:tcPr>
          <w:p w14:paraId="0E4A0257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 xml:space="preserve">Acta Biochim Biophys Sin </w:t>
            </w:r>
          </w:p>
        </w:tc>
        <w:tc>
          <w:tcPr>
            <w:tcW w:w="889" w:type="dxa"/>
            <w:noWrap w:val="0"/>
            <w:vAlign w:val="top"/>
          </w:tcPr>
          <w:p w14:paraId="41BBEDA5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  <w:lang w:val="en-US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2023</w:t>
            </w: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年7月</w:t>
            </w:r>
          </w:p>
        </w:tc>
        <w:tc>
          <w:tcPr>
            <w:tcW w:w="1112" w:type="dxa"/>
            <w:noWrap w:val="0"/>
            <w:vAlign w:val="top"/>
          </w:tcPr>
          <w:p w14:paraId="10B8CBF2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  <w:r>
              <w:rPr>
                <w:rFonts w:hint="default" w:ascii="Times New Roman"/>
                <w:color w:val="auto"/>
                <w:sz w:val="21"/>
                <w:szCs w:val="21"/>
              </w:rPr>
              <w:t>2023, 55(5): 783–794.</w:t>
            </w:r>
          </w:p>
        </w:tc>
        <w:tc>
          <w:tcPr>
            <w:tcW w:w="856" w:type="dxa"/>
            <w:shd w:val="clear" w:color="auto" w:fill="auto"/>
            <w:noWrap w:val="0"/>
            <w:vAlign w:val="top"/>
          </w:tcPr>
          <w:p w14:paraId="51834B57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>中国医科大学附属第四医院，中国医科大学附属第一医院</w:t>
            </w:r>
          </w:p>
        </w:tc>
        <w:tc>
          <w:tcPr>
            <w:tcW w:w="1127" w:type="dxa"/>
            <w:shd w:val="clear" w:color="auto" w:fill="auto"/>
            <w:noWrap w:val="0"/>
            <w:vAlign w:val="top"/>
          </w:tcPr>
          <w:p w14:paraId="49340DEF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auto"/>
                <w:sz w:val="21"/>
                <w:szCs w:val="21"/>
                <w:lang w:val="en-US" w:eastAsia="zh-CN"/>
              </w:rPr>
              <w:t xml:space="preserve">Yi Yang， Yuanyuan Li， Shaoqiong Zhang ，Linyan Cao， Yansong ，Zhang Bo </w:t>
            </w:r>
            <w:bookmarkStart w:id="0" w:name="_GoBack"/>
            <w:bookmarkEnd w:id="0"/>
          </w:p>
        </w:tc>
        <w:tc>
          <w:tcPr>
            <w:tcW w:w="687" w:type="dxa"/>
            <w:noWrap w:val="0"/>
            <w:vAlign w:val="top"/>
          </w:tcPr>
          <w:p w14:paraId="2BCB5E42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90" w:lineRule="exact"/>
              <w:ind w:left="0" w:right="0" w:firstLine="0" w:firstLineChars="0"/>
              <w:jc w:val="left"/>
              <w:rPr>
                <w:rFonts w:hint="default" w:ascii="Times New Roman"/>
                <w:color w:val="auto"/>
              </w:rPr>
            </w:pPr>
          </w:p>
        </w:tc>
      </w:tr>
    </w:tbl>
    <w:p w14:paraId="50C5A313">
      <w:pPr>
        <w:pStyle w:val="2"/>
        <w:spacing w:line="390" w:lineRule="exact"/>
        <w:ind w:firstLine="0" w:firstLineChars="0"/>
        <w:jc w:val="left"/>
        <w:outlineLvl w:val="1"/>
        <w:rPr>
          <w:rFonts w:ascii="SimSun" w:hAnsi="SimSun"/>
          <w:bCs/>
          <w:color w:val="0D0D0D"/>
          <w:sz w:val="28"/>
        </w:rPr>
      </w:pPr>
    </w:p>
    <w:p w14:paraId="2E4D931D">
      <w:pPr>
        <w:pStyle w:val="2"/>
        <w:spacing w:line="390" w:lineRule="exact"/>
        <w:ind w:firstLine="0" w:firstLineChars="0"/>
        <w:jc w:val="left"/>
        <w:outlineLvl w:val="1"/>
        <w:rPr>
          <w:rFonts w:hint="eastAsia" w:ascii="SimSun" w:hAnsi="SimSun"/>
          <w:bCs/>
          <w:color w:val="0D0D0D"/>
          <w:sz w:val="28"/>
        </w:rPr>
      </w:pPr>
      <w:r>
        <w:rPr>
          <w:rFonts w:hint="eastAsia" w:ascii="SimSun" w:hAnsi="SimSun"/>
          <w:bCs/>
          <w:color w:val="0D0D0D"/>
          <w:sz w:val="28"/>
        </w:rPr>
        <w:t>主要完成人</w:t>
      </w:r>
      <w:r>
        <w:rPr>
          <w:rFonts w:hint="eastAsia" w:ascii="SimSun" w:hAnsi="SimSun"/>
          <w:bCs/>
          <w:color w:val="0D0D0D"/>
        </w:rPr>
        <w:t>（一等奖不超过</w:t>
      </w:r>
      <w:r>
        <w:rPr>
          <w:rFonts w:ascii="SimSun" w:hAnsi="SimSun"/>
          <w:bCs/>
          <w:color w:val="0D0D0D"/>
        </w:rPr>
        <w:t>11</w:t>
      </w:r>
      <w:r>
        <w:rPr>
          <w:rFonts w:hint="eastAsia" w:ascii="SimSun" w:hAnsi="SimSun"/>
          <w:bCs/>
          <w:color w:val="0D0D0D"/>
          <w:lang w:eastAsia="zh-CN"/>
        </w:rPr>
        <w:t>人</w:t>
      </w:r>
      <w:r>
        <w:rPr>
          <w:rFonts w:hint="eastAsia" w:ascii="SimSun" w:hAnsi="SimSun"/>
          <w:bCs/>
          <w:color w:val="0D0D0D"/>
        </w:rPr>
        <w:t>，二等奖不超过</w:t>
      </w:r>
      <w:r>
        <w:rPr>
          <w:rFonts w:ascii="SimSun" w:hAnsi="SimSun"/>
          <w:bCs/>
          <w:color w:val="0D0D0D"/>
        </w:rPr>
        <w:t>9</w:t>
      </w:r>
      <w:r>
        <w:rPr>
          <w:rFonts w:hint="eastAsia" w:ascii="SimSun" w:hAnsi="SimSun"/>
          <w:bCs/>
          <w:color w:val="0D0D0D"/>
          <w:lang w:eastAsia="zh-CN"/>
        </w:rPr>
        <w:t>人</w:t>
      </w:r>
      <w:r>
        <w:rPr>
          <w:rFonts w:hint="eastAsia" w:ascii="SimSun" w:hAnsi="SimSun"/>
          <w:bCs/>
          <w:color w:val="0D0D0D"/>
          <w:lang w:val="en-US" w:eastAsia="zh-CN"/>
        </w:rPr>
        <w:t>,三等奖不超过7人</w:t>
      </w:r>
      <w:r>
        <w:rPr>
          <w:rFonts w:hint="eastAsia" w:ascii="SimSun" w:hAnsi="SimSun"/>
          <w:bCs/>
          <w:color w:val="0D0D0D"/>
        </w:rPr>
        <w:t>）</w:t>
      </w:r>
      <w:r>
        <w:rPr>
          <w:rFonts w:hint="eastAsia" w:ascii="SimSun" w:hAnsi="SimSun"/>
          <w:bCs/>
          <w:color w:val="0D0D0D"/>
          <w:sz w:val="28"/>
          <w:lang w:eastAsia="zh-CN"/>
        </w:rPr>
        <w:t>：</w:t>
      </w:r>
    </w:p>
    <w:tbl>
      <w:tblPr>
        <w:tblStyle w:val="3"/>
        <w:tblW w:w="906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843"/>
        <w:gridCol w:w="3260"/>
        <w:gridCol w:w="3114"/>
      </w:tblGrid>
      <w:tr w14:paraId="63E3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1" w:hRule="atLeast"/>
        </w:trPr>
        <w:tc>
          <w:tcPr>
            <w:tcW w:w="851" w:type="dxa"/>
            <w:noWrap w:val="0"/>
            <w:vAlign w:val="center"/>
          </w:tcPr>
          <w:p w14:paraId="6EDE31C8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序号</w:t>
            </w:r>
          </w:p>
        </w:tc>
        <w:tc>
          <w:tcPr>
            <w:tcW w:w="1843" w:type="dxa"/>
            <w:noWrap w:val="0"/>
            <w:vAlign w:val="center"/>
          </w:tcPr>
          <w:p w14:paraId="4AB8A8CE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姓名</w:t>
            </w:r>
          </w:p>
        </w:tc>
        <w:tc>
          <w:tcPr>
            <w:tcW w:w="3260" w:type="dxa"/>
            <w:noWrap w:val="0"/>
            <w:vAlign w:val="center"/>
          </w:tcPr>
          <w:p w14:paraId="79654348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完成单位</w:t>
            </w:r>
          </w:p>
        </w:tc>
        <w:tc>
          <w:tcPr>
            <w:tcW w:w="3114" w:type="dxa"/>
            <w:noWrap w:val="0"/>
            <w:vAlign w:val="center"/>
          </w:tcPr>
          <w:p w14:paraId="214B469E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工作单位</w:t>
            </w:r>
          </w:p>
        </w:tc>
      </w:tr>
      <w:tr w14:paraId="26EE6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51" w:type="dxa"/>
            <w:noWrap w:val="0"/>
            <w:vAlign w:val="center"/>
          </w:tcPr>
          <w:p w14:paraId="24BB42F5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69C2A553">
            <w:pPr>
              <w:adjustRightInd w:val="0"/>
              <w:snapToGrid w:val="0"/>
              <w:spacing w:before="120" w:beforeLines="50" w:after="120" w:afterLines="50"/>
              <w:rPr>
                <w:rFonts w:hint="default" w:ascii="Times New Roman" w:hAnsi="Times New Roman" w:eastAsia="SimSu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田阿勇</w:t>
            </w:r>
          </w:p>
        </w:tc>
        <w:tc>
          <w:tcPr>
            <w:tcW w:w="3260" w:type="dxa"/>
            <w:noWrap w:val="0"/>
            <w:vAlign w:val="center"/>
          </w:tcPr>
          <w:p w14:paraId="5E311554">
            <w:pPr>
              <w:ind w:left="-9"/>
              <w:jc w:val="center"/>
              <w:rPr>
                <w:rFonts w:hint="eastAsia" w:ascii="SimSun" w:hAnsi="SimSun" w:eastAsia="SimSun"/>
                <w:bCs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  <w:tc>
          <w:tcPr>
            <w:tcW w:w="3114" w:type="dxa"/>
            <w:shd w:val="clear" w:color="auto" w:fill="auto"/>
            <w:noWrap w:val="0"/>
            <w:vAlign w:val="center"/>
          </w:tcPr>
          <w:p w14:paraId="09787C47">
            <w:pPr>
              <w:ind w:left="-9" w:leftChars="0"/>
              <w:jc w:val="center"/>
              <w:rPr>
                <w:rFonts w:hint="eastAsia" w:ascii="SimSun" w:hAnsi="SimSun" w:eastAsia="SimSun" w:cs="Times New Roman"/>
                <w:bCs/>
                <w:color w:val="0D0D0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</w:tr>
      <w:tr w14:paraId="3EB4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51" w:type="dxa"/>
            <w:noWrap w:val="0"/>
            <w:vAlign w:val="center"/>
          </w:tcPr>
          <w:p w14:paraId="77F8336B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097FEEB2">
            <w:pPr>
              <w:adjustRightInd w:val="0"/>
              <w:snapToGrid w:val="0"/>
              <w:spacing w:before="120" w:beforeLines="50" w:after="120" w:afterLines="50"/>
              <w:rPr>
                <w:rFonts w:hint="eastAsia" w:ascii="Times New Roman" w:hAnsi="Times New Roman" w:eastAsia="SimSu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李阳毓</w:t>
            </w:r>
          </w:p>
        </w:tc>
        <w:tc>
          <w:tcPr>
            <w:tcW w:w="3260" w:type="dxa"/>
            <w:noWrap w:val="0"/>
            <w:vAlign w:val="center"/>
          </w:tcPr>
          <w:p w14:paraId="3A9AC9D6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  <w:tc>
          <w:tcPr>
            <w:tcW w:w="3114" w:type="dxa"/>
            <w:shd w:val="clear" w:color="auto" w:fill="auto"/>
            <w:noWrap w:val="0"/>
            <w:vAlign w:val="center"/>
          </w:tcPr>
          <w:p w14:paraId="6FE0175F">
            <w:pPr>
              <w:ind w:left="-9" w:leftChars="0"/>
              <w:jc w:val="center"/>
              <w:rPr>
                <w:rFonts w:hint="eastAsia" w:ascii="SimSun" w:hAnsi="SimSun" w:eastAsia="SimSun" w:cs="Times New Roman"/>
                <w:bCs/>
                <w:color w:val="0D0D0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</w:tr>
      <w:tr w14:paraId="6C7E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51" w:type="dxa"/>
            <w:noWrap w:val="0"/>
            <w:vAlign w:val="center"/>
          </w:tcPr>
          <w:p w14:paraId="37447180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137B8365">
            <w:pPr>
              <w:adjustRightInd w:val="0"/>
              <w:snapToGrid w:val="0"/>
              <w:spacing w:before="120" w:beforeLines="50" w:after="120" w:afterLines="50"/>
              <w:rPr>
                <w:rFonts w:hint="eastAsia" w:ascii="Times New Roman" w:hAnsi="Times New Roman" w:eastAsia="SimSu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王越</w:t>
            </w:r>
          </w:p>
        </w:tc>
        <w:tc>
          <w:tcPr>
            <w:tcW w:w="3260" w:type="dxa"/>
            <w:noWrap w:val="0"/>
            <w:vAlign w:val="center"/>
          </w:tcPr>
          <w:p w14:paraId="25DF4243">
            <w:pPr>
              <w:ind w:left="-9"/>
              <w:jc w:val="center"/>
              <w:rPr>
                <w:rFonts w:hint="default" w:ascii="SimSun" w:hAnsi="SimSun"/>
                <w:bCs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中国医科大学附属盛京医院</w:t>
            </w:r>
          </w:p>
        </w:tc>
        <w:tc>
          <w:tcPr>
            <w:tcW w:w="3114" w:type="dxa"/>
            <w:shd w:val="clear" w:color="auto" w:fill="auto"/>
            <w:noWrap w:val="0"/>
            <w:vAlign w:val="center"/>
          </w:tcPr>
          <w:p w14:paraId="38642C27">
            <w:pPr>
              <w:ind w:left="-9" w:leftChars="0"/>
              <w:jc w:val="center"/>
              <w:rPr>
                <w:rFonts w:hint="default" w:ascii="SimSun" w:hAnsi="SimSun" w:eastAsia="SimSun" w:cs="Times New Roman"/>
                <w:bCs/>
                <w:color w:val="0D0D0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中国医科大学附属盛京医院</w:t>
            </w:r>
          </w:p>
        </w:tc>
      </w:tr>
      <w:tr w14:paraId="765F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51" w:type="dxa"/>
            <w:noWrap w:val="0"/>
            <w:vAlign w:val="center"/>
          </w:tcPr>
          <w:p w14:paraId="1D26DCE1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6F562FBE">
            <w:pPr>
              <w:adjustRightInd w:val="0"/>
              <w:snapToGrid w:val="0"/>
              <w:spacing w:before="120" w:beforeLines="50" w:after="120" w:afterLines="50"/>
              <w:rPr>
                <w:rFonts w:hint="default" w:ascii="Times New Roman" w:hAnsi="Times New Roman" w:eastAsia="SimSu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李宇</w:t>
            </w:r>
          </w:p>
        </w:tc>
        <w:tc>
          <w:tcPr>
            <w:tcW w:w="3260" w:type="dxa"/>
            <w:noWrap w:val="0"/>
            <w:vAlign w:val="center"/>
          </w:tcPr>
          <w:p w14:paraId="7B2AE000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中国医科大学附属第一医院</w:t>
            </w:r>
          </w:p>
        </w:tc>
        <w:tc>
          <w:tcPr>
            <w:tcW w:w="3114" w:type="dxa"/>
            <w:shd w:val="clear" w:color="auto" w:fill="auto"/>
            <w:noWrap w:val="0"/>
            <w:vAlign w:val="center"/>
          </w:tcPr>
          <w:p w14:paraId="14F5D510">
            <w:pPr>
              <w:ind w:left="-9" w:leftChars="0"/>
              <w:jc w:val="center"/>
              <w:rPr>
                <w:rFonts w:hint="eastAsia" w:ascii="SimSun" w:hAnsi="SimSun" w:eastAsia="SimSun" w:cs="Times New Roman"/>
                <w:bCs/>
                <w:color w:val="0D0D0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中国医科大学附属第一医院</w:t>
            </w:r>
          </w:p>
        </w:tc>
      </w:tr>
      <w:tr w14:paraId="5CE2A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51" w:type="dxa"/>
            <w:noWrap w:val="0"/>
            <w:vAlign w:val="center"/>
          </w:tcPr>
          <w:p w14:paraId="5EB4143F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3BCA11D2">
            <w:pPr>
              <w:adjustRightInd w:val="0"/>
              <w:snapToGrid w:val="0"/>
              <w:spacing w:before="120" w:beforeLines="50" w:after="120" w:afterLines="50"/>
              <w:rPr>
                <w:rFonts w:hint="eastAsia" w:ascii="Times New Roman" w:hAnsi="Times New Roman" w:eastAsia="SimSu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杨艺</w:t>
            </w:r>
          </w:p>
        </w:tc>
        <w:tc>
          <w:tcPr>
            <w:tcW w:w="3260" w:type="dxa"/>
            <w:noWrap w:val="0"/>
            <w:vAlign w:val="center"/>
          </w:tcPr>
          <w:p w14:paraId="34B5BE9E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  <w:tc>
          <w:tcPr>
            <w:tcW w:w="3114" w:type="dxa"/>
            <w:shd w:val="clear" w:color="auto" w:fill="auto"/>
            <w:noWrap w:val="0"/>
            <w:vAlign w:val="center"/>
          </w:tcPr>
          <w:p w14:paraId="3FD81049">
            <w:pPr>
              <w:ind w:left="-9" w:leftChars="0"/>
              <w:jc w:val="center"/>
              <w:rPr>
                <w:rFonts w:hint="eastAsia" w:ascii="SimSun" w:hAnsi="SimSun" w:eastAsia="SimSun" w:cs="Times New Roman"/>
                <w:bCs/>
                <w:color w:val="0D0D0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</w:tr>
      <w:tr w14:paraId="0A10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51" w:type="dxa"/>
            <w:noWrap w:val="0"/>
            <w:vAlign w:val="center"/>
          </w:tcPr>
          <w:p w14:paraId="482177D0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61F576C9">
            <w:pPr>
              <w:adjustRightInd w:val="0"/>
              <w:snapToGrid w:val="0"/>
              <w:spacing w:before="120" w:beforeLines="50" w:after="120" w:afterLines="50"/>
              <w:rPr>
                <w:rFonts w:hint="eastAsia" w:ascii="Times New Roman" w:hAnsi="Times New Roman" w:eastAsia="SimSu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刘千朔</w:t>
            </w:r>
          </w:p>
        </w:tc>
        <w:tc>
          <w:tcPr>
            <w:tcW w:w="3260" w:type="dxa"/>
            <w:noWrap w:val="0"/>
            <w:vAlign w:val="center"/>
          </w:tcPr>
          <w:p w14:paraId="4344D1C5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  <w:tc>
          <w:tcPr>
            <w:tcW w:w="3114" w:type="dxa"/>
            <w:shd w:val="clear" w:color="auto" w:fill="auto"/>
            <w:noWrap w:val="0"/>
            <w:vAlign w:val="center"/>
          </w:tcPr>
          <w:p w14:paraId="4711B34C">
            <w:pPr>
              <w:ind w:left="-9" w:leftChars="0"/>
              <w:jc w:val="center"/>
              <w:rPr>
                <w:rFonts w:hint="eastAsia" w:ascii="SimSun" w:hAnsi="SimSun" w:eastAsia="SimSun" w:cs="Times New Roman"/>
                <w:bCs/>
                <w:color w:val="0D0D0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</w:tr>
      <w:tr w14:paraId="719D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51" w:type="dxa"/>
            <w:noWrap w:val="0"/>
            <w:vAlign w:val="center"/>
          </w:tcPr>
          <w:p w14:paraId="30E7E9C2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  <w:noWrap w:val="0"/>
            <w:vAlign w:val="top"/>
          </w:tcPr>
          <w:p w14:paraId="78C1BF56">
            <w:pPr>
              <w:adjustRightInd w:val="0"/>
              <w:snapToGrid w:val="0"/>
              <w:spacing w:before="120" w:beforeLines="50" w:after="120" w:afterLines="50"/>
              <w:rPr>
                <w:rFonts w:hint="eastAsia" w:ascii="Times New Roman" w:hAnsi="Times New Roman" w:eastAsia="SimSun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马佳</w:t>
            </w:r>
          </w:p>
        </w:tc>
        <w:tc>
          <w:tcPr>
            <w:tcW w:w="3260" w:type="dxa"/>
            <w:noWrap w:val="0"/>
            <w:vAlign w:val="center"/>
          </w:tcPr>
          <w:p w14:paraId="07AAA451">
            <w:pPr>
              <w:ind w:left="-9"/>
              <w:jc w:val="center"/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  <w:tc>
          <w:tcPr>
            <w:tcW w:w="3114" w:type="dxa"/>
            <w:shd w:val="clear" w:color="auto" w:fill="auto"/>
            <w:noWrap w:val="0"/>
            <w:vAlign w:val="center"/>
          </w:tcPr>
          <w:p w14:paraId="0CA29FC0">
            <w:pPr>
              <w:ind w:left="-9" w:leftChars="0"/>
              <w:jc w:val="center"/>
              <w:rPr>
                <w:rFonts w:hint="eastAsia" w:ascii="SimSun" w:hAnsi="SimSun" w:eastAsia="SimSun" w:cs="Times New Roman"/>
                <w:bCs/>
                <w:color w:val="0D0D0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SimSun" w:hAnsi="SimSun"/>
                <w:bCs/>
                <w:color w:val="0D0D0D"/>
                <w:sz w:val="24"/>
                <w:szCs w:val="24"/>
                <w:lang w:val="en-US" w:eastAsia="zh-CN"/>
              </w:rPr>
              <w:t>中国医科大学附属第四医院</w:t>
            </w:r>
          </w:p>
        </w:tc>
      </w:tr>
    </w:tbl>
    <w:p w14:paraId="0408DD07">
      <w:pPr>
        <w:spacing w:before="312" w:beforeLines="100"/>
        <w:rPr>
          <w:rFonts w:hint="eastAsia" w:ascii="SimSun" w:hAnsi="SimSun"/>
          <w:bCs/>
          <w:color w:val="0D0D0D"/>
          <w:sz w:val="28"/>
        </w:rPr>
      </w:pPr>
      <w:r>
        <w:rPr>
          <w:rFonts w:hint="eastAsia" w:ascii="SimSun" w:hAnsi="SimSun"/>
          <w:bCs/>
          <w:color w:val="0D0D0D"/>
          <w:sz w:val="28"/>
        </w:rPr>
        <w:t>主要完成单位</w:t>
      </w:r>
      <w:r>
        <w:rPr>
          <w:rFonts w:hint="eastAsia" w:ascii="SimSun" w:hAnsi="SimSun"/>
          <w:bCs/>
          <w:color w:val="0D0D0D"/>
          <w:sz w:val="24"/>
        </w:rPr>
        <w:t>（一等奖不超过7个，二等奖不超过5个</w:t>
      </w:r>
      <w:r>
        <w:rPr>
          <w:rFonts w:hint="eastAsia" w:ascii="SimSun" w:hAnsi="SimSun"/>
          <w:bCs/>
          <w:color w:val="0D0D0D"/>
          <w:sz w:val="24"/>
          <w:lang w:eastAsia="zh-CN"/>
        </w:rPr>
        <w:t>，</w:t>
      </w:r>
      <w:r>
        <w:rPr>
          <w:rFonts w:hint="eastAsia" w:ascii="SimSun" w:hAnsi="SimSun"/>
          <w:bCs/>
          <w:color w:val="0D0D0D"/>
          <w:sz w:val="24"/>
          <w:lang w:val="en-US" w:eastAsia="zh-CN"/>
        </w:rPr>
        <w:t>三等奖不超过3个</w:t>
      </w:r>
      <w:r>
        <w:rPr>
          <w:rFonts w:hint="eastAsia" w:ascii="SimSun" w:hAnsi="SimSun"/>
          <w:bCs/>
          <w:color w:val="0D0D0D"/>
          <w:sz w:val="24"/>
        </w:rPr>
        <w:t>）</w:t>
      </w:r>
      <w:r>
        <w:rPr>
          <w:rFonts w:hint="eastAsia" w:ascii="SimSun" w:hAnsi="SimSun"/>
          <w:bCs/>
          <w:color w:val="0D0D0D"/>
          <w:sz w:val="28"/>
        </w:rPr>
        <w:t>：</w:t>
      </w:r>
    </w:p>
    <w:p w14:paraId="77F1BDDE">
      <w:pPr>
        <w:numPr>
          <w:ilvl w:val="0"/>
          <w:numId w:val="1"/>
        </w:numPr>
        <w:spacing w:before="312" w:beforeLines="100"/>
        <w:rPr>
          <w:rFonts w:hint="eastAsia" w:ascii="SimSun" w:hAnsi="SimSun"/>
          <w:bCs/>
          <w:color w:val="0D0D0D"/>
          <w:sz w:val="24"/>
          <w:szCs w:val="24"/>
          <w:lang w:val="en-US" w:eastAsia="zh-CN"/>
        </w:rPr>
      </w:pPr>
      <w:r>
        <w:rPr>
          <w:rFonts w:hint="eastAsia" w:ascii="SimSun" w:hAnsi="SimSun"/>
          <w:bCs/>
          <w:color w:val="0D0D0D"/>
          <w:sz w:val="24"/>
          <w:szCs w:val="24"/>
          <w:lang w:val="en-US" w:eastAsia="zh-CN"/>
        </w:rPr>
        <w:t>中国医科大学附属第四医院</w:t>
      </w:r>
    </w:p>
    <w:p w14:paraId="35F1D9A5">
      <w:pPr>
        <w:numPr>
          <w:ilvl w:val="0"/>
          <w:numId w:val="1"/>
        </w:numPr>
        <w:spacing w:before="312" w:beforeLines="100"/>
        <w:rPr>
          <w:rFonts w:hint="eastAsia" w:ascii="SimSun" w:hAnsi="SimSun"/>
          <w:bCs/>
          <w:color w:val="0D0D0D"/>
          <w:sz w:val="24"/>
          <w:szCs w:val="24"/>
          <w:lang w:val="en-US" w:eastAsia="zh-CN"/>
        </w:rPr>
      </w:pPr>
      <w:r>
        <w:rPr>
          <w:rFonts w:hint="eastAsia" w:ascii="SimSun" w:hAnsi="SimSun"/>
          <w:bCs/>
          <w:color w:val="0D0D0D"/>
          <w:sz w:val="24"/>
          <w:szCs w:val="24"/>
          <w:lang w:val="en-US" w:eastAsia="zh-CN"/>
        </w:rPr>
        <w:t>中国医科大学附属盛京医院</w:t>
      </w:r>
    </w:p>
    <w:p w14:paraId="45CE3849">
      <w:pPr>
        <w:numPr>
          <w:ilvl w:val="0"/>
          <w:numId w:val="1"/>
        </w:numPr>
        <w:spacing w:before="312" w:beforeLines="100"/>
        <w:rPr>
          <w:rFonts w:hint="eastAsia" w:ascii="SimSun" w:hAnsi="SimSun"/>
          <w:bCs/>
          <w:color w:val="0D0D0D"/>
          <w:sz w:val="24"/>
          <w:szCs w:val="24"/>
          <w:lang w:val="en-US" w:eastAsia="zh-CN"/>
        </w:rPr>
      </w:pPr>
      <w:r>
        <w:rPr>
          <w:rFonts w:hint="eastAsia" w:ascii="SimSun" w:hAnsi="SimSun"/>
          <w:bCs/>
          <w:color w:val="0D0D0D"/>
          <w:sz w:val="24"/>
          <w:szCs w:val="24"/>
          <w:lang w:val="en-US" w:eastAsia="zh-CN"/>
        </w:rPr>
        <w:t>中国医科大学附属第一医院</w:t>
      </w:r>
    </w:p>
    <w:p w14:paraId="2F4244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FangSong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F6E5B"/>
    <w:multiLevelType w:val="singleLevel"/>
    <w:tmpl w:val="929F6E5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2632BD"/>
    <w:rsid w:val="0B410F04"/>
    <w:rsid w:val="11CA303C"/>
    <w:rsid w:val="12147FB8"/>
    <w:rsid w:val="157D622F"/>
    <w:rsid w:val="168D3A3C"/>
    <w:rsid w:val="19885571"/>
    <w:rsid w:val="210C2355"/>
    <w:rsid w:val="25B500E9"/>
    <w:rsid w:val="2AFA0BBB"/>
    <w:rsid w:val="2F785BB6"/>
    <w:rsid w:val="30E233C0"/>
    <w:rsid w:val="31BA0EA5"/>
    <w:rsid w:val="324A339B"/>
    <w:rsid w:val="38A67194"/>
    <w:rsid w:val="3E5613DA"/>
    <w:rsid w:val="42482C99"/>
    <w:rsid w:val="474422FB"/>
    <w:rsid w:val="47E51E85"/>
    <w:rsid w:val="4E764C4C"/>
    <w:rsid w:val="4E932EF7"/>
    <w:rsid w:val="4FCC3EF9"/>
    <w:rsid w:val="505215BC"/>
    <w:rsid w:val="50C77338"/>
    <w:rsid w:val="51A02B7A"/>
    <w:rsid w:val="58F9747D"/>
    <w:rsid w:val="59D747E6"/>
    <w:rsid w:val="5E941DB9"/>
    <w:rsid w:val="68C53D72"/>
    <w:rsid w:val="749F02E6"/>
    <w:rsid w:val="74B31505"/>
    <w:rsid w:val="74B90E8F"/>
    <w:rsid w:val="767A2CA4"/>
    <w:rsid w:val="7E9D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1073</Words>
  <Characters>2714</Characters>
  <Lines>0</Lines>
  <Paragraphs>0</Paragraphs>
  <TotalTime>2</TotalTime>
  <ScaleCrop>false</ScaleCrop>
  <LinksUpToDate>false</LinksUpToDate>
  <CharactersWithSpaces>2970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2025-11-30T10:30:00Z</dcterms:created>
  <dc:creator>李阳毓</dc:creator>
  <cp:lastModifiedBy>李阳毓</cp:lastModifiedBy>
  <dcterms:modified xsi:type="dcterms:W3CDTF">2025-12-04T02:15:34Z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F8B3159A45DE41BDAB5380C7CC549354_13</vt:lpwstr>
  </property>
  <property fmtid="{D5CDD505-2E9C-101B-9397-08002B2CF9AE}" pid="4" name="KSOTemplateDocerSaveRecord">
    <vt:lpwstr>eyJoZGlkIjoiZTFhNGMxYTRjNzAyNTA3MzQzZTVmZjI0NDFkNWZkZjciLCJ1c2VySWQiOiI1NDE4NzQyMzUifQ==</vt:lpwstr>
  </property>
</Properties>
</file>