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40" w:lineRule="exact"/>
        <w:jc w:val="center"/>
        <w:outlineLvl w:val="2"/>
        <w:rPr>
          <w:rFonts w:hint="eastAsia" w:ascii="黑体" w:hAnsi="黑体" w:eastAsia="黑体" w:cs="黑体"/>
          <w:color w:val="000000"/>
          <w:sz w:val="32"/>
          <w:szCs w:val="32"/>
        </w:rPr>
      </w:pPr>
      <w:bookmarkStart w:id="0" w:name="_Toc1423068732"/>
      <w:bookmarkStart w:id="1" w:name="_Toc357348418"/>
      <w:bookmarkStart w:id="2" w:name="_Toc1827832502"/>
      <w:bookmarkStart w:id="3" w:name="_Toc175603519"/>
      <w:bookmarkStart w:id="4" w:name="_Toc2131911538"/>
      <w:bookmarkStart w:id="5" w:name="_Toc1550903188"/>
      <w:bookmarkStart w:id="6" w:name="_Toc1099067205"/>
      <w:bookmarkStart w:id="7" w:name="_Toc2124023149"/>
      <w:r>
        <w:rPr>
          <w:rFonts w:hint="eastAsia" w:ascii="黑体" w:hAnsi="黑体" w:eastAsia="黑体" w:cs="黑体"/>
          <w:color w:val="000000"/>
          <w:sz w:val="32"/>
          <w:szCs w:val="32"/>
        </w:rPr>
        <w:t>2023年度海南省科学技术奖提名公示内容</w:t>
      </w:r>
      <w:bookmarkEnd w:id="0"/>
      <w:bookmarkEnd w:id="1"/>
      <w:bookmarkEnd w:id="2"/>
      <w:bookmarkEnd w:id="3"/>
      <w:bookmarkEnd w:id="4"/>
      <w:bookmarkEnd w:id="5"/>
      <w:bookmarkEnd w:id="6"/>
      <w:bookmarkEnd w:id="7"/>
    </w:p>
    <w:p>
      <w:pPr>
        <w:spacing w:line="100" w:lineRule="exact"/>
        <w:jc w:val="center"/>
        <w:rPr>
          <w:rFonts w:hint="eastAsia" w:ascii="仿宋_GB2312" w:hAnsi="仿宋_GB2312" w:eastAsia="仿宋_GB2312" w:cs="仿宋_GB2312"/>
          <w:color w:val="000000"/>
          <w:sz w:val="32"/>
          <w:szCs w:val="32"/>
        </w:rPr>
      </w:pPr>
    </w:p>
    <w:p>
      <w:pPr>
        <w:spacing w:line="440" w:lineRule="exact"/>
        <w:rPr>
          <w:rFonts w:hint="eastAsia" w:eastAsia="仿宋_GB2312"/>
          <w:szCs w:val="24"/>
        </w:rPr>
      </w:pPr>
    </w:p>
    <w:p>
      <w:pPr>
        <w:spacing w:line="440" w:lineRule="exact"/>
        <w:jc w:val="center"/>
      </w:pPr>
      <w:r>
        <w:rPr>
          <w:rFonts w:hint="eastAsia" w:eastAsia="仿宋_GB2312"/>
          <w:szCs w:val="24"/>
        </w:rPr>
        <w:t>公示单位</w:t>
      </w:r>
      <w:r>
        <w:rPr>
          <w:rFonts w:hint="eastAsia" w:ascii="Times New Roman" w:hAnsi="Times New Roman" w:eastAsia="仿宋_GB2312"/>
          <w:szCs w:val="24"/>
        </w:rPr>
        <w:t>（公章）</w:t>
      </w:r>
      <w:r>
        <w:rPr>
          <w:rFonts w:hint="eastAsia" w:eastAsia="仿宋_GB2312"/>
          <w:szCs w:val="24"/>
        </w:rPr>
        <w:t xml:space="preserve">：            </w:t>
      </w:r>
      <w:r>
        <w:rPr>
          <w:rFonts w:hint="eastAsia" w:eastAsia="仿宋_GB2312"/>
          <w:szCs w:val="24"/>
          <w:lang w:val="en-US" w:eastAsia="zh-CN"/>
        </w:rPr>
        <w:t xml:space="preserve">  </w:t>
      </w:r>
      <w:r>
        <w:rPr>
          <w:rFonts w:hint="eastAsia" w:eastAsia="仿宋_GB2312"/>
          <w:szCs w:val="24"/>
        </w:rPr>
        <w:t xml:space="preserve">填表日期： </w:t>
      </w:r>
      <w:r>
        <w:rPr>
          <w:rFonts w:hint="eastAsia" w:eastAsia="仿宋_GB2312"/>
          <w:szCs w:val="24"/>
          <w:lang w:val="en-US" w:eastAsia="zh-CN"/>
        </w:rPr>
        <w:t>2023</w:t>
      </w:r>
      <w:r>
        <w:rPr>
          <w:rFonts w:hint="eastAsia" w:eastAsia="仿宋_GB2312"/>
          <w:szCs w:val="24"/>
        </w:rPr>
        <w:t>年</w:t>
      </w:r>
      <w:r>
        <w:rPr>
          <w:rFonts w:hint="eastAsia" w:eastAsia="仿宋_GB2312"/>
          <w:szCs w:val="24"/>
          <w:lang w:val="en-US" w:eastAsia="zh-CN"/>
        </w:rPr>
        <w:t>12</w:t>
      </w:r>
      <w:r>
        <w:rPr>
          <w:rFonts w:hint="eastAsia" w:eastAsia="仿宋_GB2312"/>
          <w:szCs w:val="24"/>
        </w:rPr>
        <w:t>月</w:t>
      </w:r>
      <w:r>
        <w:rPr>
          <w:rFonts w:hint="eastAsia" w:eastAsia="仿宋_GB2312"/>
          <w:szCs w:val="24"/>
          <w:lang w:val="en-US" w:eastAsia="zh-CN"/>
        </w:rPr>
        <w:t>25</w:t>
      </w:r>
      <w:r>
        <w:rPr>
          <w:rFonts w:hint="eastAsia" w:eastAsia="仿宋_GB2312"/>
          <w:szCs w:val="24"/>
        </w:rPr>
        <w:t>日</w:t>
      </w:r>
    </w:p>
    <w:tbl>
      <w:tblPr>
        <w:tblStyle w:val="5"/>
        <w:tblW w:w="932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268"/>
        <w:gridCol w:w="705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62" w:hRule="atLeast"/>
          <w:jc w:val="center"/>
        </w:trPr>
        <w:tc>
          <w:tcPr>
            <w:tcW w:w="2268" w:type="dxa"/>
            <w:noWrap w:val="0"/>
            <w:vAlign w:val="center"/>
          </w:tcPr>
          <w:p>
            <w:pPr>
              <w:jc w:val="center"/>
              <w:rPr>
                <w:rStyle w:val="7"/>
                <w:rFonts w:eastAsia="仿宋_GB2312"/>
                <w:color w:val="auto"/>
              </w:rPr>
            </w:pPr>
            <w:r>
              <w:rPr>
                <w:rStyle w:val="7"/>
                <w:rFonts w:hint="eastAsia" w:eastAsia="仿宋_GB2312"/>
                <w:color w:val="auto"/>
              </w:rPr>
              <w:t>项目</w:t>
            </w:r>
            <w:r>
              <w:rPr>
                <w:rStyle w:val="7"/>
                <w:rFonts w:eastAsia="仿宋_GB2312"/>
                <w:color w:val="auto"/>
              </w:rPr>
              <w:t>名称</w:t>
            </w:r>
          </w:p>
        </w:tc>
        <w:tc>
          <w:tcPr>
            <w:tcW w:w="7052" w:type="dxa"/>
            <w:noWrap w:val="0"/>
            <w:vAlign w:val="center"/>
          </w:tcPr>
          <w:p>
            <w:pPr>
              <w:jc w:val="center"/>
              <w:rPr>
                <w:rStyle w:val="7"/>
                <w:rFonts w:eastAsia="仿宋_GB2312"/>
                <w:b w:val="0"/>
                <w:color w:val="auto"/>
                <w:sz w:val="28"/>
              </w:rPr>
            </w:pPr>
            <w:r>
              <w:rPr>
                <w:rFonts w:hint="eastAsia" w:ascii="Times New Roman" w:hAnsi="Times New Roman" w:eastAsia="仿宋_GB2312" w:cs="Times New Roman"/>
                <w:bCs/>
                <w:sz w:val="24"/>
                <w:szCs w:val="24"/>
                <w:lang w:val="en-US" w:eastAsia="zh-CN"/>
              </w:rPr>
              <w:t>神经系统常见疾病与急危重症防治策略创新与推广应用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50" w:hRule="atLeast"/>
          <w:jc w:val="center"/>
        </w:trPr>
        <w:tc>
          <w:tcPr>
            <w:tcW w:w="2268" w:type="dxa"/>
            <w:noWrap w:val="0"/>
            <w:vAlign w:val="center"/>
          </w:tcPr>
          <w:p>
            <w:pPr>
              <w:jc w:val="center"/>
              <w:rPr>
                <w:rStyle w:val="7"/>
                <w:rFonts w:eastAsia="仿宋_GB2312"/>
                <w:color w:val="auto"/>
              </w:rPr>
            </w:pPr>
            <w:r>
              <w:rPr>
                <w:rStyle w:val="7"/>
                <w:rFonts w:eastAsia="仿宋_GB2312"/>
                <w:color w:val="auto"/>
              </w:rPr>
              <w:t>提名</w:t>
            </w:r>
            <w:r>
              <w:rPr>
                <w:rStyle w:val="7"/>
                <w:rFonts w:hint="eastAsia" w:eastAsia="仿宋_GB2312"/>
                <w:color w:val="auto"/>
              </w:rPr>
              <w:t>奖项/</w:t>
            </w:r>
            <w:r>
              <w:rPr>
                <w:rStyle w:val="7"/>
                <w:rFonts w:eastAsia="仿宋_GB2312"/>
                <w:color w:val="auto"/>
              </w:rPr>
              <w:t>等级</w:t>
            </w:r>
          </w:p>
        </w:tc>
        <w:tc>
          <w:tcPr>
            <w:tcW w:w="7052" w:type="dxa"/>
            <w:noWrap w:val="0"/>
            <w:vAlign w:val="center"/>
          </w:tcPr>
          <w:p>
            <w:pPr>
              <w:jc w:val="center"/>
              <w:rPr>
                <w:rStyle w:val="7"/>
                <w:rFonts w:hint="default" w:eastAsia="仿宋_GB2312"/>
                <w:b w:val="0"/>
                <w:color w:val="auto"/>
                <w:sz w:val="28"/>
                <w:lang w:val="en-US"/>
              </w:rPr>
            </w:pPr>
            <w:r>
              <w:rPr>
                <w:rFonts w:hint="eastAsia" w:ascii="Times New Roman" w:hAnsi="Times New Roman" w:eastAsia="仿宋_GB2312" w:cs="Times New Roman"/>
                <w:bCs/>
                <w:sz w:val="24"/>
                <w:szCs w:val="24"/>
                <w:lang w:val="en-US" w:eastAsia="zh-CN"/>
              </w:rPr>
              <w:t>海南省科学技术进步奖  二等奖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3" w:hRule="atLeast"/>
          <w:jc w:val="center"/>
        </w:trPr>
        <w:tc>
          <w:tcPr>
            <w:tcW w:w="2268" w:type="dxa"/>
            <w:noWrap w:val="0"/>
            <w:vAlign w:val="center"/>
          </w:tcPr>
          <w:p>
            <w:pPr>
              <w:jc w:val="center"/>
              <w:rPr>
                <w:rFonts w:hint="eastAsia" w:eastAsia="仿宋_GB2312"/>
                <w:b/>
                <w:bCs/>
                <w:sz w:val="24"/>
                <w:szCs w:val="24"/>
                <w:lang w:val="en"/>
              </w:rPr>
            </w:pPr>
            <w:r>
              <w:rPr>
                <w:rStyle w:val="7"/>
                <w:rFonts w:eastAsia="仿宋_GB2312"/>
                <w:color w:val="auto"/>
              </w:rPr>
              <w:t>提名单位</w:t>
            </w:r>
          </w:p>
        </w:tc>
        <w:tc>
          <w:tcPr>
            <w:tcW w:w="7052" w:type="dxa"/>
            <w:noWrap w:val="0"/>
            <w:vAlign w:val="center"/>
          </w:tcPr>
          <w:p>
            <w:pPr>
              <w:pStyle w:val="2"/>
              <w:jc w:val="center"/>
              <w:rPr>
                <w:rFonts w:hint="default" w:eastAsia="宋体"/>
                <w:lang w:val="en-US" w:eastAsia="zh-CN"/>
              </w:rPr>
            </w:pPr>
            <w:r>
              <w:rPr>
                <w:rFonts w:hint="eastAsia" w:ascii="Times New Roman" w:hAnsi="Times New Roman" w:eastAsia="仿宋_GB2312" w:cs="Times New Roman"/>
                <w:bCs/>
                <w:kern w:val="2"/>
                <w:sz w:val="24"/>
                <w:szCs w:val="24"/>
                <w:lang w:val="en-US" w:eastAsia="zh-CN" w:bidi="ar-SA"/>
              </w:rPr>
              <w:t>海南省人民医院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85" w:hRule="atLeast"/>
          <w:jc w:val="center"/>
        </w:trPr>
        <w:tc>
          <w:tcPr>
            <w:tcW w:w="2268" w:type="dxa"/>
            <w:noWrap w:val="0"/>
            <w:vAlign w:val="center"/>
          </w:tcPr>
          <w:p>
            <w:pPr>
              <w:jc w:val="center"/>
              <w:rPr>
                <w:rFonts w:eastAsia="仿宋_GB2312"/>
                <w:b/>
                <w:bCs/>
                <w:sz w:val="24"/>
                <w:szCs w:val="24"/>
              </w:rPr>
            </w:pPr>
            <w:r>
              <w:rPr>
                <w:rStyle w:val="7"/>
                <w:rFonts w:eastAsia="仿宋_GB2312"/>
                <w:color w:val="auto"/>
              </w:rPr>
              <w:t>提名意见</w:t>
            </w:r>
          </w:p>
        </w:tc>
        <w:tc>
          <w:tcPr>
            <w:tcW w:w="7052" w:type="dxa"/>
            <w:noWrap w:val="0"/>
            <w:vAlign w:val="center"/>
          </w:tcPr>
          <w:p>
            <w:pPr>
              <w:numPr>
                <w:ilvl w:val="0"/>
                <w:numId w:val="0"/>
              </w:numPr>
              <w:ind w:leftChars="0" w:firstLine="420" w:firstLineChars="200"/>
            </w:pPr>
            <w:r>
              <w:rPr>
                <w:rFonts w:hint="eastAsia" w:ascii="宋体" w:hAnsi="宋体" w:eastAsia="宋体" w:cs="Times New Roman"/>
                <w:sz w:val="21"/>
                <w:szCs w:val="21"/>
                <w:lang w:val="en-US" w:eastAsia="zh-CN"/>
              </w:rPr>
              <w:t>该项目在国自然和</w:t>
            </w:r>
            <w:r>
              <w:rPr>
                <w:rFonts w:hint="eastAsia" w:ascii="宋体" w:hAnsi="宋体" w:cs="Times New Roman"/>
                <w:sz w:val="21"/>
                <w:szCs w:val="21"/>
                <w:lang w:val="en-US" w:eastAsia="zh-CN"/>
              </w:rPr>
              <w:t>省</w:t>
            </w:r>
            <w:r>
              <w:rPr>
                <w:rFonts w:hint="eastAsia" w:ascii="宋体" w:hAnsi="宋体" w:eastAsia="宋体" w:cs="Times New Roman"/>
                <w:sz w:val="21"/>
                <w:szCs w:val="21"/>
                <w:lang w:val="en-US" w:eastAsia="zh-CN"/>
              </w:rPr>
              <w:t>重点</w:t>
            </w:r>
            <w:r>
              <w:rPr>
                <w:rFonts w:hint="eastAsia" w:ascii="宋体" w:hAnsi="宋体" w:cs="Times New Roman"/>
                <w:sz w:val="21"/>
                <w:szCs w:val="21"/>
                <w:lang w:val="en-US" w:eastAsia="zh-CN"/>
              </w:rPr>
              <w:t>课题</w:t>
            </w:r>
            <w:r>
              <w:rPr>
                <w:rFonts w:hint="eastAsia" w:ascii="宋体" w:hAnsi="宋体" w:eastAsia="宋体" w:cs="Times New Roman"/>
                <w:sz w:val="21"/>
                <w:szCs w:val="21"/>
                <w:lang w:val="en-US" w:eastAsia="zh-CN"/>
              </w:rPr>
              <w:t>支持下，历时</w:t>
            </w:r>
            <w:r>
              <w:rPr>
                <w:rFonts w:hint="eastAsia" w:ascii="宋体" w:hAnsi="宋体" w:cs="Times New Roman"/>
                <w:sz w:val="21"/>
                <w:szCs w:val="21"/>
                <w:lang w:val="en-US" w:eastAsia="zh-CN"/>
              </w:rPr>
              <w:t>十</w:t>
            </w:r>
            <w:r>
              <w:rPr>
                <w:rFonts w:hint="eastAsia" w:ascii="宋体" w:hAnsi="宋体" w:eastAsia="宋体" w:cs="Times New Roman"/>
                <w:sz w:val="21"/>
                <w:szCs w:val="21"/>
                <w:lang w:val="en-US" w:eastAsia="zh-CN"/>
              </w:rPr>
              <w:t>余年</w:t>
            </w:r>
            <w:r>
              <w:rPr>
                <w:rFonts w:hint="eastAsia" w:ascii="宋体" w:hAnsi="宋体" w:cs="Times New Roman"/>
                <w:sz w:val="21"/>
                <w:szCs w:val="21"/>
                <w:lang w:val="en-US" w:eastAsia="zh-CN"/>
              </w:rPr>
              <w:t>对</w:t>
            </w:r>
            <w:r>
              <w:rPr>
                <w:rFonts w:hint="eastAsia" w:ascii="宋体" w:hAnsi="宋体" w:eastAsia="宋体" w:cs="Times New Roman"/>
                <w:sz w:val="21"/>
                <w:szCs w:val="21"/>
                <w:lang w:val="en-US" w:eastAsia="zh-CN"/>
              </w:rPr>
              <w:t>缺血性脑血管病、神经危重症和神经退行性疾病</w:t>
            </w:r>
            <w:r>
              <w:rPr>
                <w:rFonts w:hint="eastAsia" w:ascii="宋体" w:hAnsi="宋体" w:cs="Times New Roman"/>
                <w:sz w:val="21"/>
                <w:szCs w:val="21"/>
                <w:lang w:val="en-US" w:eastAsia="zh-CN"/>
              </w:rPr>
              <w:t>的</w:t>
            </w:r>
            <w:r>
              <w:rPr>
                <w:rFonts w:hint="eastAsia" w:ascii="宋体" w:hAnsi="宋体" w:eastAsia="宋体" w:cs="Times New Roman"/>
                <w:sz w:val="21"/>
                <w:szCs w:val="21"/>
                <w:lang w:val="en-US" w:eastAsia="zh-CN"/>
              </w:rPr>
              <w:t>防治策略持续创新和推广应用。</w:t>
            </w:r>
            <w:r>
              <w:rPr>
                <w:rFonts w:hint="eastAsia" w:ascii="宋体" w:hAnsi="宋体" w:cs="Times New Roman"/>
                <w:sz w:val="21"/>
                <w:szCs w:val="21"/>
                <w:lang w:val="en-US" w:eastAsia="zh-CN"/>
              </w:rPr>
              <w:t>在</w:t>
            </w:r>
            <w:r>
              <w:rPr>
                <w:rFonts w:hint="eastAsia" w:ascii="宋体" w:hAnsi="宋体" w:eastAsia="宋体" w:cs="Times New Roman"/>
                <w:sz w:val="21"/>
                <w:szCs w:val="21"/>
                <w:lang w:val="en-US" w:eastAsia="zh-CN"/>
              </w:rPr>
              <w:t>国内较早开展了</w:t>
            </w:r>
            <w:r>
              <w:rPr>
                <w:rFonts w:hint="default" w:ascii="宋体" w:hAnsi="宋体" w:eastAsia="宋体" w:cs="Times New Roman"/>
                <w:sz w:val="21"/>
                <w:szCs w:val="21"/>
                <w:lang w:val="en-US" w:eastAsia="zh-CN"/>
              </w:rPr>
              <w:t>双联抗板</w:t>
            </w:r>
            <w:r>
              <w:rPr>
                <w:rFonts w:hint="eastAsia" w:ascii="宋体" w:hAnsi="宋体" w:eastAsia="宋体" w:cs="Times New Roman"/>
                <w:sz w:val="21"/>
                <w:szCs w:val="21"/>
                <w:lang w:val="en-US" w:eastAsia="zh-CN"/>
              </w:rPr>
              <w:t>和</w:t>
            </w:r>
            <w:r>
              <w:rPr>
                <w:rFonts w:hint="eastAsia" w:ascii="宋体" w:hAnsi="宋体" w:cs="Times New Roman"/>
                <w:sz w:val="21"/>
                <w:szCs w:val="21"/>
                <w:lang w:val="en-US" w:eastAsia="zh-CN"/>
              </w:rPr>
              <w:t>t-PA</w:t>
            </w:r>
            <w:r>
              <w:rPr>
                <w:rFonts w:hint="eastAsia" w:ascii="宋体" w:hAnsi="宋体" w:eastAsia="宋体" w:cs="Times New Roman"/>
                <w:sz w:val="21"/>
                <w:szCs w:val="21"/>
                <w:lang w:val="en-US" w:eastAsia="zh-CN"/>
              </w:rPr>
              <w:t>治疗急性期缺血性脑卒中、颅内外动脉狭窄血管成形术、动脉溶栓和机械取栓</w:t>
            </w:r>
            <w:r>
              <w:rPr>
                <w:rFonts w:hint="eastAsia" w:ascii="宋体" w:hAnsi="宋体" w:cs="Times New Roman"/>
                <w:sz w:val="21"/>
                <w:szCs w:val="21"/>
                <w:lang w:val="en-US" w:eastAsia="zh-CN"/>
              </w:rPr>
              <w:t>等</w:t>
            </w:r>
            <w:r>
              <w:rPr>
                <w:rFonts w:hint="eastAsia" w:ascii="宋体" w:hAnsi="宋体" w:eastAsia="宋体" w:cs="Times New Roman"/>
                <w:sz w:val="21"/>
                <w:szCs w:val="21"/>
                <w:lang w:val="en-US" w:eastAsia="zh-CN"/>
              </w:rPr>
              <w:t>，较早提出房颤患者抗凝治疗防控缺血性脑卒中新策略和预后评估新模型，</w:t>
            </w:r>
            <w:r>
              <w:rPr>
                <w:rFonts w:hint="eastAsia" w:ascii="宋体" w:hAnsi="宋体" w:cs="Times New Roman"/>
                <w:sz w:val="21"/>
                <w:szCs w:val="21"/>
                <w:lang w:val="en-US" w:eastAsia="zh-CN"/>
              </w:rPr>
              <w:t>参与</w:t>
            </w:r>
            <w:r>
              <w:rPr>
                <w:rFonts w:hint="eastAsia" w:ascii="宋体" w:hAnsi="宋体" w:eastAsia="宋体" w:cs="Times New Roman"/>
                <w:sz w:val="21"/>
                <w:szCs w:val="21"/>
                <w:lang w:val="en-US" w:eastAsia="zh-CN"/>
              </w:rPr>
              <w:t>制定中国指南</w:t>
            </w:r>
            <w:r>
              <w:rPr>
                <w:rFonts w:hint="eastAsia" w:ascii="宋体" w:hAnsi="宋体" w:cs="Times New Roman"/>
                <w:sz w:val="21"/>
                <w:szCs w:val="21"/>
                <w:lang w:val="en-US" w:eastAsia="zh-CN"/>
              </w:rPr>
              <w:t>十</w:t>
            </w:r>
            <w:r>
              <w:rPr>
                <w:rFonts w:hint="eastAsia" w:ascii="宋体" w:hAnsi="宋体" w:eastAsia="宋体" w:cs="Times New Roman"/>
                <w:sz w:val="21"/>
                <w:szCs w:val="21"/>
                <w:lang w:val="en-US" w:eastAsia="zh-CN"/>
              </w:rPr>
              <w:t>部，提</w:t>
            </w:r>
            <w:r>
              <w:rPr>
                <w:rFonts w:hint="eastAsia" w:ascii="宋体" w:hAnsi="宋体" w:cs="Times New Roman"/>
                <w:sz w:val="21"/>
                <w:szCs w:val="21"/>
                <w:lang w:val="en-US" w:eastAsia="zh-CN"/>
              </w:rPr>
              <w:t>升</w:t>
            </w:r>
            <w:r>
              <w:rPr>
                <w:rFonts w:hint="eastAsia" w:ascii="宋体" w:hAnsi="宋体" w:eastAsia="宋体" w:cs="Times New Roman"/>
                <w:sz w:val="21"/>
                <w:szCs w:val="21"/>
                <w:lang w:val="en-US" w:eastAsia="zh-CN"/>
              </w:rPr>
              <w:t>了本省</w:t>
            </w:r>
            <w:r>
              <w:rPr>
                <w:rFonts w:hint="eastAsia" w:ascii="宋体" w:hAnsi="宋体" w:cs="Times New Roman"/>
                <w:sz w:val="21"/>
                <w:szCs w:val="21"/>
                <w:lang w:val="en-US" w:eastAsia="zh-CN"/>
              </w:rPr>
              <w:t>神经系统常见病与急危重症防治</w:t>
            </w:r>
            <w:r>
              <w:rPr>
                <w:rFonts w:hint="eastAsia" w:ascii="宋体" w:hAnsi="宋体" w:eastAsia="宋体" w:cs="Times New Roman"/>
                <w:sz w:val="21"/>
                <w:szCs w:val="21"/>
                <w:lang w:val="en-US" w:eastAsia="zh-CN"/>
              </w:rPr>
              <w:t>水平。建立海南首个神经重症病房，诊</w:t>
            </w:r>
            <w:r>
              <w:rPr>
                <w:rFonts w:hint="eastAsia" w:ascii="宋体" w:hAnsi="宋体" w:cs="Times New Roman"/>
                <w:sz w:val="21"/>
                <w:szCs w:val="21"/>
                <w:lang w:val="en-US" w:eastAsia="zh-CN"/>
              </w:rPr>
              <w:t>治海南</w:t>
            </w:r>
            <w:r>
              <w:rPr>
                <w:rFonts w:hint="eastAsia" w:ascii="宋体" w:hAnsi="宋体" w:eastAsia="宋体" w:cs="Times New Roman"/>
                <w:sz w:val="21"/>
                <w:szCs w:val="21"/>
                <w:lang w:val="en-US" w:eastAsia="zh-CN"/>
              </w:rPr>
              <w:t>首例</w:t>
            </w:r>
            <w:r>
              <w:rPr>
                <w:rFonts w:hint="eastAsia" w:ascii="宋体" w:hAnsi="宋体" w:cs="Times New Roman"/>
                <w:sz w:val="21"/>
                <w:szCs w:val="21"/>
                <w:lang w:val="en-US" w:eastAsia="zh-CN"/>
              </w:rPr>
              <w:t>重症</w:t>
            </w:r>
            <w:r>
              <w:rPr>
                <w:rFonts w:hint="eastAsia" w:ascii="宋体" w:hAnsi="宋体" w:eastAsia="宋体" w:cs="Times New Roman"/>
                <w:sz w:val="21"/>
                <w:szCs w:val="21"/>
                <w:lang w:val="en-US" w:eastAsia="zh-CN"/>
              </w:rPr>
              <w:t>抗NMDAR脑炎，</w:t>
            </w:r>
            <w:r>
              <w:rPr>
                <w:rFonts w:hint="eastAsia" w:ascii="宋体" w:hAnsi="宋体" w:cs="Times New Roman"/>
                <w:sz w:val="21"/>
                <w:szCs w:val="21"/>
                <w:lang w:val="en-US" w:eastAsia="zh-CN"/>
              </w:rPr>
              <w:t>国内</w:t>
            </w:r>
            <w:r>
              <w:rPr>
                <w:rFonts w:hint="eastAsia" w:ascii="宋体" w:hAnsi="宋体" w:eastAsia="宋体" w:cs="Times New Roman"/>
                <w:sz w:val="21"/>
                <w:szCs w:val="21"/>
                <w:lang w:val="en-US" w:eastAsia="zh-CN"/>
              </w:rPr>
              <w:t>首例</w:t>
            </w:r>
            <w:r>
              <w:rPr>
                <w:rFonts w:hint="eastAsia" w:ascii="宋体" w:hAnsi="宋体" w:cs="Times New Roman"/>
                <w:sz w:val="21"/>
                <w:szCs w:val="21"/>
                <w:lang w:val="en-US" w:eastAsia="zh-CN"/>
              </w:rPr>
              <w:t>使用</w:t>
            </w:r>
            <w:r>
              <w:rPr>
                <w:rFonts w:hint="eastAsia" w:ascii="宋体" w:hAnsi="宋体" w:eastAsia="宋体" w:cs="Times New Roman"/>
                <w:sz w:val="21"/>
                <w:szCs w:val="21"/>
                <w:lang w:val="en-US" w:eastAsia="zh-CN"/>
              </w:rPr>
              <w:t>艾加莫德治疗重症肌无力，成功救治大量神经危重症患者，为我省神经重症病房建设打下基础并树立标杆。省内率先开展长寿人群的</w:t>
            </w:r>
            <w:r>
              <w:rPr>
                <w:rFonts w:hint="default" w:ascii="宋体" w:hAnsi="宋体" w:eastAsia="宋体" w:cs="Times New Roman"/>
                <w:sz w:val="21"/>
                <w:szCs w:val="21"/>
                <w:lang w:val="en-US" w:eastAsia="zh-CN"/>
              </w:rPr>
              <w:t>神经退变</w:t>
            </w:r>
            <w:r>
              <w:rPr>
                <w:rFonts w:hint="eastAsia" w:ascii="宋体" w:hAnsi="宋体" w:eastAsia="宋体" w:cs="Times New Roman"/>
                <w:sz w:val="21"/>
                <w:szCs w:val="21"/>
                <w:lang w:val="en-US" w:eastAsia="zh-CN"/>
              </w:rPr>
              <w:t>研究，首次明确长寿人群认知</w:t>
            </w:r>
            <w:r>
              <w:rPr>
                <w:rFonts w:hint="default" w:ascii="宋体" w:hAnsi="宋体" w:eastAsia="宋体" w:cs="Times New Roman"/>
                <w:sz w:val="21"/>
                <w:szCs w:val="21"/>
                <w:lang w:val="en-US" w:eastAsia="zh-CN"/>
              </w:rPr>
              <w:t>障碍</w:t>
            </w:r>
            <w:r>
              <w:rPr>
                <w:rFonts w:hint="eastAsia" w:ascii="宋体" w:hAnsi="宋体" w:eastAsia="宋体" w:cs="Times New Roman"/>
                <w:sz w:val="21"/>
                <w:szCs w:val="21"/>
                <w:lang w:val="en-US" w:eastAsia="zh-CN"/>
              </w:rPr>
              <w:t>的流</w:t>
            </w:r>
            <w:r>
              <w:rPr>
                <w:rFonts w:hint="eastAsia" w:ascii="宋体" w:hAnsi="宋体" w:cs="Times New Roman"/>
                <w:sz w:val="21"/>
                <w:szCs w:val="21"/>
                <w:lang w:val="en-US" w:eastAsia="zh-CN"/>
              </w:rPr>
              <w:t>行</w:t>
            </w:r>
            <w:r>
              <w:rPr>
                <w:rFonts w:hint="eastAsia" w:ascii="宋体" w:hAnsi="宋体" w:eastAsia="宋体" w:cs="Times New Roman"/>
                <w:sz w:val="21"/>
                <w:szCs w:val="21"/>
                <w:lang w:val="en-US" w:eastAsia="zh-CN"/>
              </w:rPr>
              <w:t>病</w:t>
            </w:r>
            <w:r>
              <w:rPr>
                <w:rFonts w:hint="eastAsia" w:ascii="宋体" w:hAnsi="宋体" w:cs="Times New Roman"/>
                <w:sz w:val="21"/>
                <w:szCs w:val="21"/>
                <w:lang w:val="en-US" w:eastAsia="zh-CN"/>
              </w:rPr>
              <w:t>学</w:t>
            </w:r>
            <w:r>
              <w:rPr>
                <w:rFonts w:hint="eastAsia" w:ascii="宋体" w:hAnsi="宋体" w:eastAsia="宋体" w:cs="Times New Roman"/>
                <w:sz w:val="21"/>
                <w:szCs w:val="21"/>
                <w:lang w:val="en-US" w:eastAsia="zh-CN"/>
              </w:rPr>
              <w:t>和预后影响，提出了海南省具备改善长寿人群认知障碍的友好型环境。首次</w:t>
            </w:r>
            <w:r>
              <w:rPr>
                <w:rFonts w:hint="eastAsia" w:ascii="宋体" w:hAnsi="宋体" w:cs="Times New Roman"/>
                <w:sz w:val="21"/>
                <w:szCs w:val="21"/>
                <w:lang w:val="en-US" w:eastAsia="zh-CN"/>
              </w:rPr>
              <w:t>研究了</w:t>
            </w:r>
            <w:r>
              <w:rPr>
                <w:rFonts w:hint="eastAsia" w:ascii="宋体" w:hAnsi="宋体" w:eastAsia="宋体" w:cs="Times New Roman"/>
                <w:sz w:val="21"/>
                <w:szCs w:val="21"/>
                <w:lang w:val="en-US" w:eastAsia="zh-CN"/>
              </w:rPr>
              <w:t>以总胆固醇为代表代谢分子、补体C3/C4</w:t>
            </w:r>
            <w:r>
              <w:rPr>
                <w:rFonts w:hint="eastAsia" w:ascii="宋体" w:hAnsi="宋体" w:cs="Times New Roman"/>
                <w:sz w:val="21"/>
                <w:szCs w:val="21"/>
                <w:lang w:val="en-US" w:eastAsia="zh-CN"/>
              </w:rPr>
              <w:t>为代表免疫分子</w:t>
            </w:r>
            <w:r>
              <w:rPr>
                <w:rFonts w:hint="eastAsia" w:ascii="宋体" w:hAnsi="宋体" w:eastAsia="宋体" w:cs="Times New Roman"/>
                <w:sz w:val="21"/>
                <w:szCs w:val="21"/>
                <w:lang w:val="en-US" w:eastAsia="zh-CN"/>
              </w:rPr>
              <w:t>和C反应蛋白为代表炎症分子在介导海南长寿人群认知障碍和不良预后中的核心作用</w:t>
            </w:r>
            <w:r>
              <w:rPr>
                <w:rFonts w:hint="eastAsia" w:ascii="宋体" w:hAnsi="宋体" w:cs="Times New Roman"/>
                <w:sz w:val="21"/>
                <w:szCs w:val="21"/>
                <w:lang w:val="en-US" w:eastAsia="zh-CN"/>
              </w:rPr>
              <w:t>，</w:t>
            </w:r>
            <w:r>
              <w:rPr>
                <w:rFonts w:hint="eastAsia" w:ascii="宋体" w:hAnsi="宋体" w:eastAsia="宋体" w:cs="Times New Roman"/>
                <w:sz w:val="21"/>
                <w:szCs w:val="21"/>
                <w:lang w:val="en-US" w:eastAsia="zh-CN"/>
              </w:rPr>
              <w:t>明确提出通过改善免疫炎症和营养代谢延缓神经退变、干预认知功能和实现健康衰老的防控新方法。首次从双心疾病角度研究海南长寿人群</w:t>
            </w:r>
            <w:r>
              <w:rPr>
                <w:rFonts w:hint="eastAsia" w:ascii="宋体" w:hAnsi="宋体" w:cs="Times New Roman"/>
                <w:sz w:val="21"/>
                <w:szCs w:val="21"/>
                <w:lang w:val="en-US" w:eastAsia="zh-CN"/>
              </w:rPr>
              <w:t>的</w:t>
            </w:r>
            <w:r>
              <w:rPr>
                <w:rFonts w:hint="eastAsia" w:ascii="宋体" w:hAnsi="宋体" w:eastAsia="宋体" w:cs="Times New Roman"/>
                <w:sz w:val="21"/>
                <w:szCs w:val="21"/>
                <w:lang w:val="en-US" w:eastAsia="zh-CN"/>
              </w:rPr>
              <w:t>健康衰老，建立了心脑健康新桥梁。该项目累计发表论文6</w:t>
            </w:r>
            <w:r>
              <w:rPr>
                <w:rFonts w:hint="eastAsia" w:ascii="宋体" w:hAnsi="宋体" w:cs="Times New Roman"/>
                <w:sz w:val="21"/>
                <w:szCs w:val="21"/>
                <w:lang w:val="en-US" w:eastAsia="zh-CN"/>
              </w:rPr>
              <w:t>2</w:t>
            </w:r>
            <w:r>
              <w:rPr>
                <w:rFonts w:hint="eastAsia" w:ascii="宋体" w:hAnsi="宋体" w:eastAsia="宋体" w:cs="Times New Roman"/>
                <w:sz w:val="21"/>
                <w:szCs w:val="21"/>
                <w:lang w:val="en-US" w:eastAsia="zh-CN"/>
              </w:rPr>
              <w:t>篇，包括SCI论文38篇，TOP期刊论文7篇，累计影响因子226分。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804" w:hRule="atLeast"/>
          <w:jc w:val="center"/>
        </w:trPr>
        <w:tc>
          <w:tcPr>
            <w:tcW w:w="2268" w:type="dxa"/>
            <w:tcBorders>
              <w:right w:val="single" w:color="auto" w:sz="4" w:space="0"/>
            </w:tcBorders>
            <w:noWrap w:val="0"/>
            <w:vAlign w:val="center"/>
          </w:tcPr>
          <w:p>
            <w:pPr>
              <w:spacing w:line="440" w:lineRule="exact"/>
              <w:jc w:val="center"/>
              <w:rPr>
                <w:rFonts w:hint="eastAsia" w:eastAsia="仿宋_GB2312"/>
                <w:b/>
                <w:bCs/>
                <w:sz w:val="24"/>
                <w:szCs w:val="24"/>
              </w:rPr>
            </w:pPr>
            <w:r>
              <w:rPr>
                <w:rFonts w:hint="eastAsia" w:eastAsia="仿宋_GB2312"/>
                <w:b/>
                <w:bCs/>
                <w:sz w:val="24"/>
                <w:szCs w:val="24"/>
              </w:rPr>
              <w:t>项目简介</w:t>
            </w:r>
          </w:p>
        </w:tc>
        <w:tc>
          <w:tcPr>
            <w:tcW w:w="7052" w:type="dxa"/>
            <w:tcBorders>
              <w:left w:val="single" w:color="auto" w:sz="4" w:space="0"/>
            </w:tcBorders>
            <w:noWrap w:val="0"/>
            <w:vAlign w:val="center"/>
          </w:tcPr>
          <w:p>
            <w:pPr>
              <w:numPr>
                <w:ilvl w:val="0"/>
                <w:numId w:val="0"/>
              </w:numPr>
              <w:ind w:leftChars="0" w:firstLine="420" w:firstLineChars="200"/>
              <w:rPr>
                <w:rFonts w:hint="eastAsia" w:ascii="宋体" w:hAnsi="宋体" w:cs="Times New Roman"/>
                <w:sz w:val="21"/>
                <w:szCs w:val="21"/>
                <w:lang w:val="en-US" w:eastAsia="zh-CN"/>
              </w:rPr>
            </w:pPr>
            <w:r>
              <w:rPr>
                <w:rFonts w:hint="eastAsia" w:ascii="宋体" w:hAnsi="宋体" w:cs="Times New Roman"/>
                <w:sz w:val="21"/>
                <w:szCs w:val="21"/>
                <w:lang w:val="en-US" w:eastAsia="zh-CN"/>
              </w:rPr>
              <w:t>该项目在国自然和省重点课题支持下，历时十余年对缺血性脑血管病、神经危重症和神经退行性疾病的防治策略持续创新和推广应用，提升了本省神经系统常见病与急危重症防治水平。</w:t>
            </w:r>
          </w:p>
          <w:p>
            <w:pPr>
              <w:numPr>
                <w:ilvl w:val="0"/>
                <w:numId w:val="0"/>
              </w:numPr>
              <w:ind w:leftChars="0" w:firstLine="420" w:firstLineChars="200"/>
              <w:rPr>
                <w:rFonts w:hint="eastAsia" w:ascii="宋体" w:hAnsi="宋体" w:cs="Times New Roman"/>
                <w:sz w:val="21"/>
                <w:szCs w:val="21"/>
                <w:lang w:val="en-US" w:eastAsia="zh-CN"/>
              </w:rPr>
            </w:pPr>
            <w:r>
              <w:rPr>
                <w:rFonts w:hint="eastAsia" w:ascii="宋体" w:hAnsi="宋体" w:cs="Times New Roman"/>
                <w:sz w:val="21"/>
                <w:szCs w:val="21"/>
                <w:lang w:val="en-US" w:eastAsia="zh-CN"/>
              </w:rPr>
              <w:t>申报团队在国内率先开展替罗非班和重组纤溶酶原激活剂治疗急性期缺血性脑卒中的有效性和安全性研究，较早提出房颤患者抗凝治疗防控缺血性脑卒中新策略和预后评估新模型，较早开展颅内外动脉狭窄血管成形术、急性期缺血性脑卒中动脉溶栓和机械取栓、颅内静脉窦大负荷血栓机械碎栓联合抽吸取栓等多种血管内治疗技术，参与制定十部中国专家共识与指南,规范了缺血性脑卒中双联抗血小板聚集药物、口服新型抗凝药物及血管内介入技术的临床应用，通过MicroRNA 152-3p和let-7f 靶向氧-葡萄糖剥夺条件下的DDX6和HMGA2调控血管内皮细胞功能障碍改善脑供血，为缺血性脑卒中患者提供了新的防治策略并推广应用。</w:t>
            </w:r>
          </w:p>
          <w:p>
            <w:pPr>
              <w:numPr>
                <w:ilvl w:val="0"/>
                <w:numId w:val="0"/>
              </w:numPr>
              <w:ind w:leftChars="0" w:firstLine="420" w:firstLineChars="200"/>
              <w:rPr>
                <w:rFonts w:hint="eastAsia" w:ascii="宋体" w:hAnsi="宋体" w:cs="Times New Roman"/>
                <w:sz w:val="21"/>
                <w:szCs w:val="21"/>
                <w:lang w:val="en-US" w:eastAsia="zh-CN"/>
              </w:rPr>
            </w:pPr>
            <w:r>
              <w:rPr>
                <w:rFonts w:hint="eastAsia" w:ascii="宋体" w:hAnsi="宋体" w:cs="Times New Roman"/>
                <w:sz w:val="21"/>
                <w:szCs w:val="21"/>
                <w:lang w:val="en-US" w:eastAsia="zh-CN"/>
              </w:rPr>
              <w:t>申报团队成功建立了海南省首个神经重症病房，积极探索神经急危重症救治策略，成功救治大量重症脑血管病、癫痫持续状态、重症肌无力危象及吉兰巴雷综合征等神经急危重症患者，成功救治了省内首例重症抗NMDAR脑炎，使用艾加莫德治疗国内首例重症肌无力并取得显著疗效，显著提升了我省神经重症救治能力，为加强我省神经重症病房建设以实现神经急危重症不出岛打下基础并树立标杆，受到了同行广泛好评。</w:t>
            </w:r>
          </w:p>
          <w:p>
            <w:pPr>
              <w:numPr>
                <w:ilvl w:val="0"/>
                <w:numId w:val="0"/>
              </w:numPr>
              <w:ind w:leftChars="0" w:firstLine="420" w:firstLineChars="200"/>
              <w:rPr>
                <w:rFonts w:hint="eastAsia" w:ascii="宋体" w:hAnsi="宋体" w:cs="Times New Roman"/>
                <w:sz w:val="21"/>
                <w:szCs w:val="21"/>
                <w:lang w:val="en-US" w:eastAsia="zh-CN"/>
              </w:rPr>
            </w:pPr>
            <w:r>
              <w:rPr>
                <w:rFonts w:hint="eastAsia" w:ascii="宋体" w:hAnsi="宋体" w:cs="Times New Roman"/>
                <w:sz w:val="21"/>
                <w:szCs w:val="21"/>
                <w:lang w:val="en-US" w:eastAsia="zh-CN"/>
              </w:rPr>
              <w:t>申报团队省内率先开展长寿人群神经退行性疾病和认知功能减退研究，首次明确认知功能减退在海南长寿人群中的流行病学和预后影响，提出了海南省具备改善长寿人群认知障碍的友好型环境。系统研究并首次提出了以总胆固醇为代表代谢分子、补体C3/C4为代表免疫分子和C反应蛋白为代表炎症分子在介导长寿人群认知减退和不良预后中的核心作用，明确提出通过改善免疫炎症和营养代谢延缓神经退变、干预认知功能和实现健康衰老的防控新方法。省内较早研究并探索改善认知障碍的新靶点和新方法，如推广休闲活动介导APOE ε4缓解认知障碍和应用川芎嗪调节SSTR4泛素化纠正认知障碍及分析GRK5功能缺失与认知障碍相关性以指导临床诊治。首次从双心疾病角度研究海南长寿人群健康衰老，建立了心脑健康新桥梁。</w:t>
            </w:r>
          </w:p>
          <w:p>
            <w:pPr>
              <w:numPr>
                <w:ilvl w:val="0"/>
                <w:numId w:val="0"/>
              </w:numPr>
              <w:ind w:leftChars="0" w:firstLine="420" w:firstLineChars="200"/>
              <w:rPr>
                <w:rFonts w:hint="eastAsia" w:ascii="宋体" w:hAnsi="宋体" w:cs="宋体"/>
                <w:sz w:val="24"/>
              </w:rPr>
            </w:pPr>
            <w:r>
              <w:rPr>
                <w:rFonts w:hint="eastAsia" w:ascii="宋体" w:hAnsi="宋体" w:cs="Times New Roman"/>
                <w:sz w:val="21"/>
                <w:szCs w:val="21"/>
                <w:lang w:val="en-US" w:eastAsia="zh-CN"/>
              </w:rPr>
              <w:t>本项目自2008年开展前期研究，2010年获得立项，期间获得包括国家自然科学基金、海南省重点项目在内的多项基金支持。申报团队积极推广项目成果，主要包括编撰指南、发表论文、出版专著、授权专利、人才培养、会议展出和临床推广等途径。本项目申报团队以主要完成人发表临床指南及中国专家共识10部；发表项目相关研究论文62篇，包括SCI论文38篇，其中TOP期刊论文7篇，中科院JCR 1-2区论文23篇，累计影响因子226分，发表中文核心期刊23篇。出版专著5本，授权专利3项，项目实施期间培养进修医生136名，培养硕士和博士研究生13人。项目成果目前已经在省内外多家医院长期应用并提供了有力的技术支持，取得了良好的社会效益。</w:t>
            </w:r>
            <w:bookmarkStart w:id="8" w:name="_GoBack"/>
            <w:bookmarkEnd w:id="8"/>
          </w:p>
          <w:p>
            <w:pPr>
              <w:ind w:firstLine="560" w:firstLineChars="20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011" w:hRule="atLeast"/>
          <w:jc w:val="center"/>
        </w:trPr>
        <w:tc>
          <w:tcPr>
            <w:tcW w:w="2268" w:type="dxa"/>
            <w:tcBorders>
              <w:right w:val="single" w:color="auto" w:sz="4" w:space="0"/>
            </w:tcBorders>
            <w:noWrap w:val="0"/>
            <w:vAlign w:val="center"/>
          </w:tcPr>
          <w:p>
            <w:pPr>
              <w:spacing w:line="440" w:lineRule="exact"/>
              <w:jc w:val="center"/>
              <w:rPr>
                <w:rFonts w:eastAsia="仿宋_GB2312"/>
                <w:b/>
                <w:bCs/>
                <w:sz w:val="24"/>
                <w:szCs w:val="24"/>
              </w:rPr>
            </w:pPr>
            <w:r>
              <w:rPr>
                <w:rFonts w:eastAsia="仿宋_GB2312"/>
                <w:b/>
                <w:bCs/>
                <w:sz w:val="24"/>
                <w:szCs w:val="24"/>
              </w:rPr>
              <w:t>提名书</w:t>
            </w:r>
          </w:p>
          <w:p>
            <w:pPr>
              <w:spacing w:line="440" w:lineRule="exact"/>
              <w:jc w:val="center"/>
              <w:rPr>
                <w:rFonts w:eastAsia="仿宋_GB2312"/>
                <w:b/>
                <w:bCs/>
                <w:sz w:val="24"/>
                <w:szCs w:val="24"/>
              </w:rPr>
            </w:pPr>
            <w:r>
              <w:rPr>
                <w:rFonts w:eastAsia="仿宋_GB2312"/>
                <w:b/>
                <w:bCs/>
                <w:sz w:val="24"/>
                <w:szCs w:val="24"/>
              </w:rPr>
              <w:t>相关内容</w:t>
            </w:r>
          </w:p>
        </w:tc>
        <w:tc>
          <w:tcPr>
            <w:tcW w:w="7052" w:type="dxa"/>
            <w:tcBorders>
              <w:left w:val="single" w:color="auto" w:sz="4" w:space="0"/>
            </w:tcBorders>
            <w:noWrap w:val="0"/>
            <w:vAlign w:val="center"/>
          </w:tcPr>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Segoe UI" w:hAnsi="Segoe UI" w:eastAsia="Segoe UI" w:cs="Segoe UI"/>
                <w:i w:val="0"/>
                <w:iCs w:val="0"/>
                <w:caps w:val="0"/>
                <w:color w:val="212121"/>
                <w:spacing w:val="0"/>
                <w:sz w:val="16"/>
                <w:szCs w:val="16"/>
                <w:shd w:val="clear" w:color="auto" w:fill="FFFFFF"/>
                <w:lang w:val="en-US" w:eastAsia="zh-CN"/>
              </w:rPr>
            </w:pPr>
            <w:r>
              <w:rPr>
                <w:rFonts w:hint="eastAsia" w:ascii="Segoe UI" w:hAnsi="Segoe UI" w:eastAsia="Segoe UI" w:cs="Segoe UI"/>
                <w:i w:val="0"/>
                <w:iCs w:val="0"/>
                <w:caps w:val="0"/>
                <w:color w:val="212121"/>
                <w:spacing w:val="0"/>
                <w:sz w:val="16"/>
                <w:szCs w:val="16"/>
                <w:shd w:val="clear" w:color="auto" w:fill="FFFFFF"/>
                <w:lang w:val="en-US" w:eastAsia="zh-CN"/>
              </w:rPr>
              <w:t xml:space="preserve">重组组织型纤溶酶原激活剂治疗缺血性卒中共识专家组. 重组组织型纤溶酶原激活剂静脉溶栓治疗缺血性卒中中国专家共识(2012版)[J]. 2012,51(12):1006-1010. </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Segoe UI" w:hAnsi="Segoe UI" w:eastAsia="Segoe UI" w:cs="Segoe UI"/>
                <w:i w:val="0"/>
                <w:iCs w:val="0"/>
                <w:caps w:val="0"/>
                <w:color w:val="212121"/>
                <w:spacing w:val="0"/>
                <w:sz w:val="16"/>
                <w:szCs w:val="16"/>
                <w:shd w:val="clear" w:color="auto" w:fill="FFFFFF"/>
                <w:lang w:val="en-US" w:eastAsia="zh-CN"/>
              </w:rPr>
            </w:pPr>
            <w:r>
              <w:rPr>
                <w:rFonts w:hint="eastAsia" w:ascii="Segoe UI" w:hAnsi="Segoe UI" w:eastAsia="Segoe UI" w:cs="Segoe UI"/>
                <w:i w:val="0"/>
                <w:iCs w:val="0"/>
                <w:caps w:val="0"/>
                <w:color w:val="212121"/>
                <w:spacing w:val="0"/>
                <w:sz w:val="16"/>
                <w:szCs w:val="16"/>
                <w:shd w:val="clear" w:color="auto" w:fill="FFFFFF"/>
                <w:lang w:val="en-US" w:eastAsia="zh-CN"/>
              </w:rPr>
              <w:t xml:space="preserve">国家卫生和计划生育委员会脑卒中医疗质量控制中心,中华预防医学会卒中预防与控制专业委员会. 缺血性卒中/短暂性脑缺血发作患者合并心房颤动的筛查及抗栓治疗中国专家共识[J]. 2014,53(8):665-671. </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Segoe UI" w:hAnsi="Segoe UI" w:eastAsia="Segoe UI" w:cs="Segoe UI"/>
                <w:i w:val="0"/>
                <w:iCs w:val="0"/>
                <w:caps w:val="0"/>
                <w:color w:val="212121"/>
                <w:spacing w:val="0"/>
                <w:sz w:val="16"/>
                <w:szCs w:val="16"/>
                <w:shd w:val="clear" w:color="auto" w:fill="FFFFFF"/>
                <w:lang w:val="en-US" w:eastAsia="zh-CN"/>
              </w:rPr>
            </w:pPr>
            <w:r>
              <w:rPr>
                <w:rFonts w:hint="eastAsia" w:ascii="Segoe UI" w:hAnsi="Segoe UI" w:eastAsia="Segoe UI" w:cs="Segoe UI"/>
                <w:i w:val="0"/>
                <w:iCs w:val="0"/>
                <w:caps w:val="0"/>
                <w:color w:val="212121"/>
                <w:spacing w:val="0"/>
                <w:sz w:val="16"/>
                <w:szCs w:val="16"/>
                <w:shd w:val="clear" w:color="auto" w:fill="FFFFFF"/>
                <w:lang w:val="en-US" w:eastAsia="zh-CN"/>
              </w:rPr>
              <w:t>中华预防医学会卒中预防与控制专业委员会介入学组. 缺血性脑血管病介入治疗抗血小板策略中国专家共识[J]. 2015,95(11):803-809.</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Segoe UI" w:hAnsi="Segoe UI" w:eastAsia="Segoe UI" w:cs="Segoe UI"/>
                <w:i w:val="0"/>
                <w:iCs w:val="0"/>
                <w:caps w:val="0"/>
                <w:color w:val="212121"/>
                <w:spacing w:val="0"/>
                <w:sz w:val="16"/>
                <w:szCs w:val="16"/>
                <w:shd w:val="clear" w:color="auto" w:fill="FFFFFF"/>
                <w:lang w:val="en-US" w:eastAsia="zh-CN"/>
              </w:rPr>
            </w:pPr>
            <w:r>
              <w:rPr>
                <w:rFonts w:hint="eastAsia" w:ascii="Segoe UI" w:hAnsi="Segoe UI" w:eastAsia="Segoe UI" w:cs="Segoe UI"/>
                <w:i w:val="0"/>
                <w:iCs w:val="0"/>
                <w:caps w:val="0"/>
                <w:color w:val="212121"/>
                <w:spacing w:val="0"/>
                <w:sz w:val="16"/>
                <w:szCs w:val="16"/>
                <w:shd w:val="clear" w:color="auto" w:fill="FFFFFF"/>
                <w:lang w:val="en-US" w:eastAsia="zh-CN"/>
              </w:rPr>
              <w:t xml:space="preserve">中国卒中学会，中国卒中学会神经介入分会，中华预防医学会卒中预防与控制专业委员会介入学组. 急性缺血性卒中血管内治疗中国指南2015[J]. 2015(7):590-606. </w:t>
            </w:r>
          </w:p>
          <w:p>
            <w:pPr>
              <w:widowControl/>
              <w:numPr>
                <w:ilvl w:val="0"/>
                <w:numId w:val="1"/>
              </w:numPr>
              <w:jc w:val="left"/>
              <w:rPr>
                <w:rFonts w:ascii="Segoe UI" w:hAnsi="Segoe UI" w:eastAsia="Segoe UI" w:cs="Segoe UI"/>
                <w:i w:val="0"/>
                <w:iCs w:val="0"/>
                <w:caps w:val="0"/>
                <w:color w:val="auto"/>
                <w:spacing w:val="0"/>
                <w:sz w:val="16"/>
                <w:szCs w:val="16"/>
                <w:shd w:val="clear" w:color="auto" w:fill="FFFFFF"/>
              </w:rPr>
            </w:pPr>
            <w:r>
              <w:rPr>
                <w:rFonts w:hint="eastAsia" w:ascii="Segoe UI" w:hAnsi="Segoe UI" w:eastAsia="Segoe UI" w:cs="Segoe UI"/>
                <w:i w:val="0"/>
                <w:iCs w:val="0"/>
                <w:caps w:val="0"/>
                <w:color w:val="212121"/>
                <w:spacing w:val="0"/>
                <w:sz w:val="16"/>
                <w:szCs w:val="16"/>
                <w:shd w:val="clear" w:color="auto" w:fill="FFFFFF"/>
                <w:lang w:val="en-US" w:eastAsia="zh-CN"/>
              </w:rPr>
              <w:t>中国卒中学会脑小血管病分会. 穿支动脉粥样硬化病中国专家共识[J]. 2021,16(5):508-514.</w:t>
            </w:r>
          </w:p>
          <w:p>
            <w:pPr>
              <w:widowControl/>
              <w:numPr>
                <w:ilvl w:val="0"/>
                <w:numId w:val="1"/>
              </w:numPr>
              <w:jc w:val="left"/>
              <w:rPr>
                <w:rFonts w:ascii="Segoe UI" w:hAnsi="Segoe UI" w:eastAsia="Segoe UI" w:cs="Segoe UI"/>
                <w:i w:val="0"/>
                <w:iCs w:val="0"/>
                <w:caps w:val="0"/>
                <w:color w:val="auto"/>
                <w:spacing w:val="0"/>
                <w:sz w:val="16"/>
                <w:szCs w:val="16"/>
                <w:shd w:val="clear" w:color="auto" w:fill="FFFFFF"/>
              </w:rPr>
            </w:pPr>
            <w:r>
              <w:rPr>
                <w:rFonts w:ascii="Segoe UI" w:hAnsi="Segoe UI" w:eastAsia="Segoe UI" w:cs="Segoe UI"/>
                <w:i w:val="0"/>
                <w:iCs w:val="0"/>
                <w:caps w:val="0"/>
                <w:color w:val="auto"/>
                <w:spacing w:val="0"/>
                <w:sz w:val="16"/>
                <w:szCs w:val="16"/>
                <w:shd w:val="clear" w:color="auto" w:fill="FFFFFF"/>
              </w:rPr>
              <w:t xml:space="preserve">Fu S, Li Y, Zhang F, Luan F, Lv F, Deng J, Zhao Y, Yao Y. Centenarian longevity is positively correlated with IgE levels but negatively correlated with C3/C4 levels, abdominal obesity and metabolic syndrome. Cell Mol Immunol. 2020 Nov;17(11):1196-1197. </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default" w:ascii="Segoe UI" w:hAnsi="Segoe UI" w:eastAsia="Segoe UI" w:cs="Segoe UI"/>
                <w:i w:val="0"/>
                <w:iCs w:val="0"/>
                <w:caps w:val="0"/>
                <w:color w:val="auto"/>
                <w:spacing w:val="0"/>
                <w:sz w:val="16"/>
                <w:szCs w:val="16"/>
                <w:shd w:val="clear" w:color="auto" w:fill="FFFFFF"/>
              </w:rPr>
            </w:pPr>
            <w:r>
              <w:rPr>
                <w:rFonts w:ascii="Segoe UI" w:hAnsi="Segoe UI" w:eastAsia="Segoe UI" w:cs="Segoe UI"/>
                <w:i w:val="0"/>
                <w:iCs w:val="0"/>
                <w:caps w:val="0"/>
                <w:color w:val="auto"/>
                <w:spacing w:val="0"/>
                <w:sz w:val="16"/>
                <w:szCs w:val="16"/>
                <w:shd w:val="clear" w:color="auto" w:fill="FFFFFF"/>
              </w:rPr>
              <w:t xml:space="preserve">Chen Y, Yang K, Huang Y, Wang X, Zhao Y, Ping P, Guan S, Fu S. Associations between lipid profiles and late-life cognitive impairment among oldest-old and centenarian adults. MedComm (2020). 2023 Sep 7;4(5):e362. </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ascii="Segoe UI" w:hAnsi="Segoe UI" w:eastAsia="Segoe UI" w:cs="Segoe UI"/>
                <w:i w:val="0"/>
                <w:iCs w:val="0"/>
                <w:caps w:val="0"/>
                <w:color w:val="auto"/>
                <w:spacing w:val="0"/>
                <w:sz w:val="16"/>
                <w:szCs w:val="16"/>
                <w:shd w:val="clear" w:color="auto" w:fill="FFFFFF"/>
              </w:rPr>
            </w:pPr>
            <w:r>
              <w:rPr>
                <w:rFonts w:hint="default" w:ascii="Segoe UI" w:hAnsi="Segoe UI" w:eastAsia="Segoe UI" w:cs="Segoe UI"/>
                <w:i w:val="0"/>
                <w:iCs w:val="0"/>
                <w:caps w:val="0"/>
                <w:color w:val="auto"/>
                <w:spacing w:val="0"/>
                <w:sz w:val="16"/>
                <w:szCs w:val="16"/>
                <w:shd w:val="clear" w:color="auto" w:fill="FFFFFF"/>
              </w:rPr>
              <w:t xml:space="preserve">Fu S, Yao Y, Lv F, Zhang F, Zhao Y, Luan F. Associations of immunological factors with metabolic syndrome and its characteristic elements in Chinese centenarians. J Transl Med. 2018 Nov 19;16(1):315. </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default" w:ascii="Segoe UI" w:hAnsi="Segoe UI" w:eastAsia="Segoe UI" w:cs="Segoe UI"/>
                <w:i w:val="0"/>
                <w:iCs w:val="0"/>
                <w:caps w:val="0"/>
                <w:color w:val="auto"/>
                <w:spacing w:val="0"/>
                <w:sz w:val="16"/>
                <w:szCs w:val="16"/>
                <w:shd w:val="clear" w:color="auto" w:fill="FFFFFF"/>
              </w:rPr>
            </w:pPr>
            <w:r>
              <w:rPr>
                <w:rFonts w:hint="default" w:ascii="Segoe UI" w:hAnsi="Segoe UI" w:eastAsia="Segoe UI" w:cs="Segoe UI"/>
                <w:i w:val="0"/>
                <w:iCs w:val="0"/>
                <w:caps w:val="0"/>
                <w:color w:val="auto"/>
                <w:spacing w:val="0"/>
                <w:sz w:val="16"/>
                <w:szCs w:val="16"/>
                <w:shd w:val="clear" w:color="auto" w:fill="FFFFFF"/>
              </w:rPr>
              <w:t>Zhou L, Ping P, Yang T, Zhu X, Bian L, Zhao Y, Song Q, Fu S. Positive relationships between masticatory function, blood lipids, and complement components in Chinese oldest-old and centenarian population. J Evid Based Med. 2023 Jun;16(2):120-122.</w:t>
            </w:r>
          </w:p>
          <w:p>
            <w:pPr>
              <w:keepNext w:val="0"/>
              <w:keepLines w:val="0"/>
              <w:pageBreakBefore w:val="0"/>
              <w:widowControl/>
              <w:numPr>
                <w:ilvl w:val="0"/>
                <w:numId w:val="1"/>
              </w:numPr>
              <w:kinsoku/>
              <w:wordWrap/>
              <w:overflowPunct/>
              <w:topLinePunct w:val="0"/>
              <w:autoSpaceDE/>
              <w:autoSpaceDN/>
              <w:bidi w:val="0"/>
              <w:adjustRightInd/>
              <w:snapToGrid/>
              <w:spacing w:line="300" w:lineRule="exact"/>
              <w:ind w:left="0" w:leftChars="0" w:firstLine="0" w:firstLineChars="0"/>
              <w:jc w:val="left"/>
              <w:textAlignment w:val="auto"/>
              <w:rPr>
                <w:rFonts w:hint="eastAsia" w:ascii="Segoe UI" w:hAnsi="Segoe UI" w:eastAsia="Segoe UI" w:cs="Segoe UI"/>
                <w:i w:val="0"/>
                <w:iCs w:val="0"/>
                <w:caps w:val="0"/>
                <w:color w:val="212121"/>
                <w:spacing w:val="0"/>
                <w:sz w:val="16"/>
                <w:szCs w:val="16"/>
                <w:shd w:val="clear" w:color="auto" w:fill="FFFFFF"/>
                <w:lang w:val="en-US" w:eastAsia="zh-CN"/>
              </w:rPr>
            </w:pPr>
            <w:r>
              <w:rPr>
                <w:rFonts w:hint="default" w:ascii="Segoe UI" w:hAnsi="Segoe UI" w:eastAsia="Segoe UI" w:cs="Segoe UI"/>
                <w:i w:val="0"/>
                <w:iCs w:val="0"/>
                <w:caps w:val="0"/>
                <w:color w:val="auto"/>
                <w:spacing w:val="0"/>
                <w:sz w:val="16"/>
                <w:szCs w:val="16"/>
                <w:shd w:val="clear" w:color="auto" w:fill="FFFFFF"/>
              </w:rPr>
              <w:t xml:space="preserve">Fu S, Zhou S, Luo L, Ye P. R2(GFR)CHADS2 and R2(GFR)CHA2DS2VASc schemes improved the performance of CHADS2 and CHA2DS2VASc scores in death risk stratification of Chinese older patients with atrial fibrillation. Clin Interv Aging. 2017 Aug 8;12:1233-1238.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76" w:hRule="atLeast"/>
          <w:jc w:val="center"/>
        </w:trPr>
        <w:tc>
          <w:tcPr>
            <w:tcW w:w="2268" w:type="dxa"/>
            <w:noWrap w:val="0"/>
            <w:vAlign w:val="center"/>
          </w:tcPr>
          <w:p>
            <w:pPr>
              <w:spacing w:line="440" w:lineRule="exact"/>
              <w:jc w:val="center"/>
              <w:rPr>
                <w:rFonts w:eastAsia="仿宋_GB2312"/>
                <w:b/>
                <w:bCs/>
                <w:sz w:val="24"/>
                <w:szCs w:val="24"/>
                <w:lang w:val="en"/>
              </w:rPr>
            </w:pPr>
            <w:r>
              <w:rPr>
                <w:rFonts w:eastAsia="仿宋_GB2312"/>
                <w:b/>
                <w:bCs/>
                <w:sz w:val="24"/>
                <w:szCs w:val="24"/>
              </w:rPr>
              <w:t>主要完成人</w:t>
            </w:r>
          </w:p>
        </w:tc>
        <w:tc>
          <w:tcPr>
            <w:tcW w:w="705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黄仕雄，排名1，主任医师</w:t>
            </w:r>
            <w:r>
              <w:rPr>
                <w:rFonts w:hint="eastAsia" w:ascii="宋体" w:hAnsi="宋体" w:cs="Times New Roman"/>
                <w:sz w:val="21"/>
                <w:szCs w:val="21"/>
                <w:lang w:val="en-US" w:eastAsia="zh-CN"/>
              </w:rPr>
              <w:t xml:space="preserve"> 教授</w:t>
            </w:r>
            <w:r>
              <w:rPr>
                <w:rFonts w:hint="eastAsia" w:ascii="宋体" w:hAnsi="宋体" w:eastAsia="宋体" w:cs="Times New Roman"/>
                <w:sz w:val="21"/>
                <w:szCs w:val="21"/>
                <w:lang w:val="en-US" w:eastAsia="zh-CN"/>
              </w:rPr>
              <w:t>，海南省人民医院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付士辉，排名2，副主任医师</w:t>
            </w:r>
            <w:r>
              <w:rPr>
                <w:rFonts w:hint="eastAsia" w:ascii="宋体" w:hAnsi="宋体" w:cs="Times New Roman"/>
                <w:sz w:val="21"/>
                <w:szCs w:val="21"/>
                <w:lang w:val="en-US" w:eastAsia="zh-CN"/>
              </w:rPr>
              <w:t xml:space="preserve"> 副教授</w:t>
            </w:r>
            <w:r>
              <w:rPr>
                <w:rFonts w:hint="eastAsia" w:ascii="宋体" w:hAnsi="宋体" w:eastAsia="宋体" w:cs="Times New Roman"/>
                <w:sz w:val="21"/>
                <w:szCs w:val="21"/>
                <w:lang w:val="en-US" w:eastAsia="zh-CN"/>
              </w:rPr>
              <w:t>，中国人民解放军总医院海南医院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林佳才，排名3，副主任医师，中国人民解放军总医院海南医院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高连波，排名4，主任医师</w:t>
            </w:r>
            <w:r>
              <w:rPr>
                <w:rFonts w:hint="eastAsia" w:ascii="宋体" w:hAnsi="宋体" w:cs="Times New Roman"/>
                <w:sz w:val="21"/>
                <w:szCs w:val="21"/>
                <w:lang w:val="en-US" w:eastAsia="zh-CN"/>
              </w:rPr>
              <w:t xml:space="preserve"> 教授</w:t>
            </w:r>
            <w:r>
              <w:rPr>
                <w:rFonts w:hint="eastAsia" w:ascii="宋体" w:hAnsi="宋体" w:eastAsia="宋体" w:cs="Times New Roman"/>
                <w:sz w:val="21"/>
                <w:szCs w:val="21"/>
                <w:lang w:val="en-US" w:eastAsia="zh-CN"/>
              </w:rPr>
              <w:t>，中国医科大学附属第四医院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伍思婷，排名5，副主任医师，中国人民解放军总医院海南医院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冯  龙，排名6，副主任医师</w:t>
            </w:r>
            <w:r>
              <w:rPr>
                <w:rFonts w:hint="eastAsia" w:ascii="宋体" w:hAnsi="宋体" w:cs="Times New Roman"/>
                <w:sz w:val="21"/>
                <w:szCs w:val="21"/>
                <w:lang w:val="en-US" w:eastAsia="zh-CN"/>
              </w:rPr>
              <w:t xml:space="preserve"> 副教授</w:t>
            </w:r>
            <w:r>
              <w:rPr>
                <w:rFonts w:hint="eastAsia" w:ascii="宋体" w:hAnsi="宋体" w:eastAsia="宋体" w:cs="Times New Roman"/>
                <w:sz w:val="21"/>
                <w:szCs w:val="21"/>
                <w:lang w:val="en-US" w:eastAsia="zh-CN"/>
              </w:rPr>
              <w:t>，中国人民解放军总医院海南医院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eastAsia="宋体" w:cs="Times New Roman"/>
                <w:sz w:val="21"/>
                <w:szCs w:val="21"/>
                <w:lang w:val="en-US" w:eastAsia="zh-CN"/>
              </w:rPr>
              <w:t>郑杨睿，排名7，</w:t>
            </w:r>
            <w:r>
              <w:rPr>
                <w:rFonts w:hint="eastAsia" w:ascii="宋体" w:hAnsi="宋体" w:cs="Times New Roman"/>
                <w:sz w:val="21"/>
                <w:szCs w:val="21"/>
                <w:lang w:val="en-US" w:eastAsia="zh-CN"/>
              </w:rPr>
              <w:t>主治</w:t>
            </w:r>
            <w:r>
              <w:rPr>
                <w:rFonts w:hint="eastAsia" w:ascii="宋体" w:hAnsi="宋体" w:eastAsia="宋体" w:cs="Times New Roman"/>
                <w:sz w:val="21"/>
                <w:szCs w:val="21"/>
                <w:lang w:val="en-US" w:eastAsia="zh-CN"/>
              </w:rPr>
              <w:t>医师，中国人民解放军总医院海南医院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eastAsia="仿宋_GB2312"/>
                <w:bCs/>
                <w:sz w:val="24"/>
                <w:szCs w:val="24"/>
              </w:rPr>
            </w:pPr>
            <w:r>
              <w:rPr>
                <w:rFonts w:hint="eastAsia" w:ascii="宋体" w:hAnsi="宋体" w:eastAsia="宋体" w:cs="Times New Roman"/>
                <w:sz w:val="21"/>
                <w:szCs w:val="21"/>
                <w:lang w:val="en-US" w:eastAsia="zh-CN"/>
              </w:rPr>
              <w:t>崔  芳，排名8，副主任医师</w:t>
            </w:r>
            <w:r>
              <w:rPr>
                <w:rFonts w:hint="eastAsia" w:ascii="宋体" w:hAnsi="宋体" w:cs="Times New Roman"/>
                <w:sz w:val="21"/>
                <w:szCs w:val="21"/>
                <w:lang w:val="en-US" w:eastAsia="zh-CN"/>
              </w:rPr>
              <w:t xml:space="preserve"> 副教授</w:t>
            </w:r>
            <w:r>
              <w:rPr>
                <w:rFonts w:hint="eastAsia" w:ascii="宋体" w:hAnsi="宋体" w:eastAsia="宋体" w:cs="Times New Roman"/>
                <w:sz w:val="21"/>
                <w:szCs w:val="21"/>
                <w:lang w:val="en-US" w:eastAsia="zh-CN"/>
              </w:rPr>
              <w:t>，中国人民解放军总医院海南医院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08" w:hRule="atLeast"/>
          <w:jc w:val="center"/>
        </w:trPr>
        <w:tc>
          <w:tcPr>
            <w:tcW w:w="2268" w:type="dxa"/>
            <w:noWrap w:val="0"/>
            <w:vAlign w:val="center"/>
          </w:tcPr>
          <w:p>
            <w:pPr>
              <w:spacing w:line="440" w:lineRule="exact"/>
              <w:jc w:val="center"/>
              <w:rPr>
                <w:rFonts w:eastAsia="仿宋_GB2312"/>
                <w:b/>
                <w:bCs/>
                <w:sz w:val="24"/>
                <w:szCs w:val="24"/>
              </w:rPr>
            </w:pPr>
            <w:r>
              <w:rPr>
                <w:rFonts w:eastAsia="仿宋_GB2312"/>
                <w:b/>
                <w:bCs/>
                <w:sz w:val="24"/>
                <w:szCs w:val="24"/>
              </w:rPr>
              <w:t>主要完成单位</w:t>
            </w:r>
          </w:p>
        </w:tc>
        <w:tc>
          <w:tcPr>
            <w:tcW w:w="7052"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1.</w:t>
            </w:r>
            <w:r>
              <w:rPr>
                <w:rFonts w:hint="eastAsia" w:ascii="宋体" w:hAnsi="宋体" w:eastAsia="宋体" w:cs="Times New Roman"/>
                <w:sz w:val="21"/>
                <w:szCs w:val="21"/>
                <w:lang w:val="en-US" w:eastAsia="zh-CN"/>
              </w:rPr>
              <w:t>海南省人民医院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hint="eastAsia" w:ascii="宋体" w:hAnsi="宋体" w:eastAsia="宋体" w:cs="Times New Roman"/>
                <w:sz w:val="21"/>
                <w:szCs w:val="21"/>
                <w:lang w:val="en-US" w:eastAsia="zh-CN"/>
              </w:rPr>
            </w:pPr>
            <w:r>
              <w:rPr>
                <w:rFonts w:hint="eastAsia" w:ascii="宋体" w:hAnsi="宋体" w:cs="Times New Roman"/>
                <w:sz w:val="21"/>
                <w:szCs w:val="21"/>
                <w:lang w:val="en-US" w:eastAsia="zh-CN"/>
              </w:rPr>
              <w:t>2.</w:t>
            </w:r>
            <w:r>
              <w:rPr>
                <w:rFonts w:hint="eastAsia" w:ascii="宋体" w:hAnsi="宋体" w:eastAsia="宋体" w:cs="Times New Roman"/>
                <w:sz w:val="21"/>
                <w:szCs w:val="21"/>
                <w:lang w:val="en-US" w:eastAsia="zh-CN"/>
              </w:rPr>
              <w:t>中国人民解放军总医院海南医院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exact"/>
              <w:jc w:val="both"/>
              <w:textAlignment w:val="auto"/>
              <w:rPr>
                <w:rFonts w:eastAsia="仿宋"/>
                <w:bCs/>
                <w:sz w:val="24"/>
                <w:szCs w:val="24"/>
              </w:rPr>
            </w:pPr>
            <w:r>
              <w:rPr>
                <w:rFonts w:hint="eastAsia" w:ascii="宋体" w:hAnsi="宋体" w:cs="Times New Roman"/>
                <w:sz w:val="21"/>
                <w:szCs w:val="21"/>
                <w:lang w:val="en-US" w:eastAsia="zh-CN"/>
              </w:rPr>
              <w:t>3.</w:t>
            </w:r>
            <w:r>
              <w:rPr>
                <w:rFonts w:hint="eastAsia" w:ascii="宋体" w:hAnsi="宋体" w:eastAsia="宋体" w:cs="Times New Roman"/>
                <w:sz w:val="21"/>
                <w:szCs w:val="21"/>
                <w:lang w:val="en-US" w:eastAsia="zh-CN"/>
              </w:rPr>
              <w:t>中国医科大学附属第四医院</w:t>
            </w:r>
          </w:p>
        </w:tc>
      </w:tr>
    </w:tbl>
    <w:p>
      <w:pPr>
        <w:spacing w:line="440" w:lineRule="exact"/>
      </w:pPr>
      <w:r>
        <w:rPr>
          <w:rFonts w:hint="eastAsia" w:ascii="仿宋_GB2312" w:hAnsi="仿宋_GB2312" w:eastAsia="仿宋_GB2312" w:cs="仿宋_GB2312"/>
          <w:sz w:val="24"/>
          <w:szCs w:val="24"/>
        </w:rPr>
        <w:t>说明：国际科学技术合作奖可不用公示，其余奖项必须公示</w:t>
      </w:r>
      <w:r>
        <w:rPr>
          <w:rFonts w:hint="eastAsia" w:ascii="仿宋_GB2312" w:hAnsi="仿宋_GB2312" w:eastAsia="仿宋_GB2312" w:cs="仿宋_GB2312"/>
          <w:b/>
          <w:bCs/>
          <w:sz w:val="24"/>
          <w:szCs w:val="24"/>
        </w:rPr>
        <w:t>至少7个</w:t>
      </w:r>
      <w:r>
        <w:rPr>
          <w:rFonts w:hint="eastAsia" w:ascii="仿宋_GB2312" w:hAnsi="仿宋_GB2312" w:eastAsia="仿宋_GB2312" w:cs="仿宋_GB2312"/>
          <w:b/>
          <w:bCs/>
          <w:sz w:val="24"/>
          <w:szCs w:val="24"/>
          <w:u w:val="wavyHeavy"/>
        </w:rPr>
        <w:t>工作日</w:t>
      </w: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Segoe UI">
    <w:panose1 w:val="020B0502040204020203"/>
    <w:charset w:val="00"/>
    <w:family w:val="auto"/>
    <w:pitch w:val="default"/>
    <w:sig w:usb0="E4002EFF" w:usb1="C000E47F"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974090" cy="234950"/>
              <wp:effectExtent l="0" t="0" r="0" b="0"/>
              <wp:wrapNone/>
              <wp:docPr id="4" name="文本框 4"/>
              <wp:cNvGraphicFramePr/>
              <a:graphic xmlns:a="http://schemas.openxmlformats.org/drawingml/2006/main">
                <a:graphicData uri="http://schemas.microsoft.com/office/word/2010/wordprocessingShape">
                  <wps:wsp>
                    <wps:cNvSpPr txBox="1"/>
                    <wps:spPr>
                      <a:xfrm>
                        <a:off x="0" y="0"/>
                        <a:ext cx="974090" cy="234950"/>
                      </a:xfrm>
                      <a:prstGeom prst="rect">
                        <a:avLst/>
                      </a:prstGeom>
                      <a:noFill/>
                      <a:ln>
                        <a:noFill/>
                      </a:ln>
                    </wps:spPr>
                    <wps:txbx>
                      <w:txbxContent>
                        <w:p>
                          <w:pPr>
                            <w:snapToGrid w:val="0"/>
                            <w:rPr>
                              <w:rFonts w:hint="eastAsia"/>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wps:txbx>
                    <wps:bodyPr lIns="0" tIns="0" rIns="0" bIns="0" upright="0"/>
                  </wps:wsp>
                </a:graphicData>
              </a:graphic>
            </wp:anchor>
          </w:drawing>
        </mc:Choice>
        <mc:Fallback>
          <w:pict>
            <v:shape id="_x0000_s1026" o:spid="_x0000_s1026" o:spt="202" type="#_x0000_t202" style="position:absolute;left:0pt;margin-top:0pt;height:18.5pt;width:76.7pt;mso-position-horizontal:outside;mso-position-horizontal-relative:margin;z-index:251659264;mso-width-relative:page;mso-height-relative:page;" filled="f" stroked="f" coordsize="21600,21600" o:gfxdata="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L72pvUAAAABAEAAA8AAAAAAAAAAQAgAAAAIgAAAGRycy9kb3ducmV2LnhtbFBLAQIUABQA&#10;AAAIAIdO4kDTv7kxuwEAAHEDAAAOAAAAAAAAAAEAIAAAACMBAABkcnMvZTJvRG9jLnhtbFBLBQYA&#10;AAAABgAGAFkBAABQBQAAAAA=&#10;">
              <v:fill on="f" focussize="0,0"/>
              <v:stroke on="f"/>
              <v:imagedata o:title=""/>
              <o:lock v:ext="edit" aspectratio="f"/>
              <v:textbox inset="0mm,0mm,0mm,0mm">
                <w:txbxContent>
                  <w:p>
                    <w:pPr>
                      <w:snapToGrid w:val="0"/>
                      <w:rPr>
                        <w:rFonts w:hint="eastAsia"/>
                        <w:szCs w:val="28"/>
                      </w:rPr>
                    </w:pPr>
                    <w:r>
                      <w:rPr>
                        <w:rFonts w:hint="eastAsia"/>
                        <w:szCs w:val="28"/>
                      </w:rPr>
                      <w:t xml:space="preserve">— </w:t>
                    </w:r>
                    <w:r>
                      <w:rPr>
                        <w:rFonts w:hint="eastAsia"/>
                        <w:szCs w:val="28"/>
                      </w:rPr>
                      <w:fldChar w:fldCharType="begin"/>
                    </w:r>
                    <w:r>
                      <w:rPr>
                        <w:rFonts w:hint="eastAsia"/>
                        <w:szCs w:val="28"/>
                      </w:rPr>
                      <w:instrText xml:space="preserve"> PAGE  \* MERGEFORMAT </w:instrText>
                    </w:r>
                    <w:r>
                      <w:rPr>
                        <w:rFonts w:hint="eastAsia"/>
                        <w:szCs w:val="28"/>
                      </w:rPr>
                      <w:fldChar w:fldCharType="separate"/>
                    </w:r>
                    <w:r>
                      <w:rPr>
                        <w:rFonts w:hint="eastAsia"/>
                        <w:szCs w:val="28"/>
                      </w:rPr>
                      <w:t>102</w:t>
                    </w:r>
                    <w:r>
                      <w:rPr>
                        <w:rFonts w:hint="eastAsia"/>
                        <w:szCs w:val="28"/>
                      </w:rPr>
                      <w:fldChar w:fldCharType="end"/>
                    </w:r>
                    <w:r>
                      <w:rPr>
                        <w:rFonts w:hint="eastAsia"/>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2BCC43"/>
    <w:multiLevelType w:val="singleLevel"/>
    <w:tmpl w:val="992BCC4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NiMjFlMTNjZWRlNTFlMDQ2NjUzNGRlNjM3Y2JjODgifQ=="/>
  </w:docVars>
  <w:rsids>
    <w:rsidRoot w:val="00000000"/>
    <w:rsid w:val="01230FD5"/>
    <w:rsid w:val="04C41E42"/>
    <w:rsid w:val="094A4400"/>
    <w:rsid w:val="0F6E0E0C"/>
    <w:rsid w:val="120C6A2A"/>
    <w:rsid w:val="125D1F74"/>
    <w:rsid w:val="1283439D"/>
    <w:rsid w:val="131F3BCB"/>
    <w:rsid w:val="276D2C2E"/>
    <w:rsid w:val="32EE6583"/>
    <w:rsid w:val="34666E4F"/>
    <w:rsid w:val="3A931DF3"/>
    <w:rsid w:val="40287C10"/>
    <w:rsid w:val="41367A94"/>
    <w:rsid w:val="41682EF1"/>
    <w:rsid w:val="429107C7"/>
    <w:rsid w:val="4D096425"/>
    <w:rsid w:val="4F0B0812"/>
    <w:rsid w:val="545D6314"/>
    <w:rsid w:val="57D91AC1"/>
    <w:rsid w:val="5C961A6D"/>
    <w:rsid w:val="5CF328E8"/>
    <w:rsid w:val="5E482CAE"/>
    <w:rsid w:val="5EBD135D"/>
    <w:rsid w:val="5EF82439"/>
    <w:rsid w:val="6DA82A57"/>
    <w:rsid w:val="72A66B8C"/>
    <w:rsid w:val="79B76EBD"/>
    <w:rsid w:val="7C8A65ED"/>
    <w:rsid w:val="7F5947F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8"/>
      <w:lang w:val="en-US" w:eastAsia="zh-CN" w:bidi="ar-SA"/>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autoRedefine/>
    <w:unhideWhenUsed/>
    <w:qFormat/>
    <w:uiPriority w:val="99"/>
    <w:pPr>
      <w:spacing w:after="120"/>
    </w:pPr>
  </w:style>
  <w:style w:type="paragraph" w:styleId="3">
    <w:name w:val="footer"/>
    <w:basedOn w:val="1"/>
    <w:autoRedefine/>
    <w:qFormat/>
    <w:uiPriority w:val="0"/>
    <w:pPr>
      <w:tabs>
        <w:tab w:val="center" w:pos="4153"/>
        <w:tab w:val="right" w:pos="8306"/>
      </w:tabs>
      <w:snapToGrid w:val="0"/>
      <w:jc w:val="left"/>
    </w:pPr>
    <w:rPr>
      <w:sz w:val="18"/>
      <w:szCs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customStyle="1" w:styleId="7">
    <w:name w:val="title1"/>
    <w:autoRedefine/>
    <w:qFormat/>
    <w:uiPriority w:val="0"/>
    <w:rPr>
      <w:b/>
      <w:bCs/>
      <w:color w:val="99990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XPS13</dc:creator>
  <cp:lastModifiedBy>林林</cp:lastModifiedBy>
  <dcterms:modified xsi:type="dcterms:W3CDTF">2023-12-26T23:54:17Z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288C3FBB72AE44D186FB86AFFC87F4B4_12</vt:lpwstr>
  </property>
</Properties>
</file>